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31F4F">
      <w:pPr>
        <w:pStyle w:val="4"/>
        <w:adjustRightInd w:val="0"/>
        <w:snapToGrid w:val="0"/>
        <w:spacing w:after="0" w:line="360" w:lineRule="auto"/>
        <w:ind w:left="0" w:leftChars="0" w:firstLine="0" w:firstLineChars="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包1：</w:t>
      </w:r>
    </w:p>
    <w:tbl>
      <w:tblPr>
        <w:tblStyle w:val="7"/>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6971"/>
        <w:gridCol w:w="984"/>
      </w:tblGrid>
      <w:tr w14:paraId="6E5A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95" w:type="dxa"/>
            <w:gridSpan w:val="3"/>
            <w:tcBorders>
              <w:top w:val="nil"/>
              <w:left w:val="nil"/>
              <w:right w:val="nil"/>
            </w:tcBorders>
            <w:noWrap w:val="0"/>
            <w:vAlign w:val="center"/>
          </w:tcPr>
          <w:p w14:paraId="4C04B73B">
            <w:pPr>
              <w:widowControl/>
              <w:adjustRightInd w:val="0"/>
              <w:snapToGrid w:val="0"/>
              <w:spacing w:line="240" w:lineRule="atLeast"/>
              <w:jc w:val="center"/>
              <w:rPr>
                <w:rFonts w:hint="eastAsia" w:ascii="宋体" w:hAnsi="宋体" w:eastAsia="宋体" w:cs="宋体"/>
                <w:b/>
                <w:bCs/>
                <w:kern w:val="0"/>
                <w:sz w:val="21"/>
                <w:szCs w:val="21"/>
                <w:lang w:val="en-US" w:eastAsia="zh-CN"/>
              </w:rPr>
            </w:pPr>
            <w:bookmarkStart w:id="0" w:name="_GoBack"/>
            <w:r>
              <w:rPr>
                <w:rFonts w:hint="eastAsia" w:ascii="宋体" w:hAnsi="宋体" w:eastAsia="宋体" w:cs="宋体"/>
                <w:b/>
                <w:bCs/>
                <w:kern w:val="0"/>
                <w:sz w:val="28"/>
                <w:szCs w:val="28"/>
                <w:highlight w:val="none"/>
                <w:lang w:val="en-US" w:eastAsia="zh-CN"/>
              </w:rPr>
              <w:t>遥测监护仪</w:t>
            </w:r>
            <w:bookmarkEnd w:id="0"/>
          </w:p>
        </w:tc>
      </w:tr>
      <w:tr w14:paraId="6964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5F0DE7D9">
            <w:pPr>
              <w:widowControl/>
              <w:adjustRightInd w:val="0"/>
              <w:snapToGrid w:val="0"/>
              <w:spacing w:line="24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一</w:t>
            </w:r>
          </w:p>
        </w:tc>
        <w:tc>
          <w:tcPr>
            <w:tcW w:w="6971" w:type="dxa"/>
            <w:tcBorders>
              <w:tl2br w:val="nil"/>
              <w:tr2bl w:val="nil"/>
            </w:tcBorders>
            <w:noWrap w:val="0"/>
            <w:vAlign w:val="center"/>
          </w:tcPr>
          <w:p w14:paraId="103F8E78">
            <w:pPr>
              <w:widowControl/>
              <w:adjustRightInd w:val="0"/>
              <w:snapToGrid w:val="0"/>
              <w:spacing w:line="240" w:lineRule="atLeas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总体要求</w:t>
            </w:r>
          </w:p>
        </w:tc>
        <w:tc>
          <w:tcPr>
            <w:tcW w:w="984" w:type="dxa"/>
            <w:tcBorders>
              <w:tl2br w:val="nil"/>
              <w:tr2bl w:val="nil"/>
            </w:tcBorders>
            <w:noWrap w:val="0"/>
            <w:vAlign w:val="center"/>
          </w:tcPr>
          <w:p w14:paraId="75F4EF58">
            <w:pPr>
              <w:widowControl/>
              <w:adjustRightInd w:val="0"/>
              <w:snapToGrid w:val="0"/>
              <w:spacing w:line="24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14:paraId="1A26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6BDF1BE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971" w:type="dxa"/>
            <w:tcBorders>
              <w:tl2br w:val="nil"/>
              <w:tr2bl w:val="nil"/>
            </w:tcBorders>
            <w:noWrap w:val="0"/>
            <w:vAlign w:val="center"/>
          </w:tcPr>
          <w:p w14:paraId="4AAFEB82">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满足医院要求，凡涉及设备安装及施工由中标方负责，按照医院要求提供交钥匙工程</w:t>
            </w:r>
          </w:p>
        </w:tc>
        <w:tc>
          <w:tcPr>
            <w:tcW w:w="984" w:type="dxa"/>
            <w:tcBorders>
              <w:tl2br w:val="nil"/>
              <w:tr2bl w:val="nil"/>
            </w:tcBorders>
            <w:noWrap w:val="0"/>
            <w:vAlign w:val="center"/>
          </w:tcPr>
          <w:p w14:paraId="6764E53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5F2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1B487CEA">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971" w:type="dxa"/>
            <w:tcBorders>
              <w:tl2br w:val="nil"/>
              <w:tr2bl w:val="nil"/>
            </w:tcBorders>
            <w:noWrap w:val="0"/>
            <w:vAlign w:val="center"/>
          </w:tcPr>
          <w:p w14:paraId="70B7A763">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投标时要求提供投标产品注册检验报告、技术参数表（datasheet）及产品彩页</w:t>
            </w:r>
          </w:p>
        </w:tc>
        <w:tc>
          <w:tcPr>
            <w:tcW w:w="984" w:type="dxa"/>
            <w:tcBorders>
              <w:tl2br w:val="nil"/>
              <w:tr2bl w:val="nil"/>
            </w:tcBorders>
            <w:noWrap w:val="0"/>
            <w:vAlign w:val="center"/>
          </w:tcPr>
          <w:p w14:paraId="21529AD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4F0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476B07A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6971" w:type="dxa"/>
            <w:tcBorders>
              <w:tl2br w:val="nil"/>
              <w:tr2bl w:val="nil"/>
            </w:tcBorders>
            <w:noWrap w:val="0"/>
            <w:vAlign w:val="center"/>
          </w:tcPr>
          <w:p w14:paraId="77550D42">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提供</w:t>
            </w:r>
            <w:r>
              <w:rPr>
                <w:rFonts w:hint="eastAsia" w:ascii="宋体" w:hAnsi="宋体" w:eastAsia="宋体" w:cs="宋体"/>
                <w:kern w:val="0"/>
                <w:sz w:val="21"/>
                <w:szCs w:val="21"/>
                <w:lang w:val="en-US" w:eastAsia="zh-CN"/>
              </w:rPr>
              <w:t>投报产品</w:t>
            </w:r>
            <w:r>
              <w:rPr>
                <w:rFonts w:hint="eastAsia" w:ascii="宋体" w:hAnsi="宋体" w:eastAsia="宋体" w:cs="宋体"/>
                <w:kern w:val="0"/>
                <w:sz w:val="21"/>
                <w:szCs w:val="21"/>
              </w:rPr>
              <w:t>医疗器械注册证</w:t>
            </w:r>
          </w:p>
        </w:tc>
        <w:tc>
          <w:tcPr>
            <w:tcW w:w="984" w:type="dxa"/>
            <w:tcBorders>
              <w:tl2br w:val="nil"/>
              <w:tr2bl w:val="nil"/>
            </w:tcBorders>
            <w:noWrap w:val="0"/>
            <w:vAlign w:val="center"/>
          </w:tcPr>
          <w:p w14:paraId="576C892D">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BE9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7948D2F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971" w:type="dxa"/>
            <w:tcBorders>
              <w:tl2br w:val="nil"/>
              <w:tr2bl w:val="nil"/>
            </w:tcBorders>
            <w:noWrap w:val="0"/>
            <w:vAlign w:val="center"/>
          </w:tcPr>
          <w:p w14:paraId="5D87D710">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仪器配备所有软件使用最新版本且终身免费升级，端口免费开放，能与我院各信息系统无缝对接</w:t>
            </w:r>
          </w:p>
        </w:tc>
        <w:tc>
          <w:tcPr>
            <w:tcW w:w="984" w:type="dxa"/>
            <w:tcBorders>
              <w:tl2br w:val="nil"/>
              <w:tr2bl w:val="nil"/>
            </w:tcBorders>
            <w:noWrap w:val="0"/>
            <w:vAlign w:val="center"/>
          </w:tcPr>
          <w:p w14:paraId="1738943E">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D63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040" w:type="dxa"/>
            <w:tcBorders>
              <w:tl2br w:val="nil"/>
              <w:tr2bl w:val="nil"/>
            </w:tcBorders>
            <w:noWrap w:val="0"/>
            <w:vAlign w:val="center"/>
          </w:tcPr>
          <w:p w14:paraId="6684F03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971" w:type="dxa"/>
            <w:tcBorders>
              <w:tl2br w:val="nil"/>
              <w:tr2bl w:val="nil"/>
            </w:tcBorders>
            <w:noWrap w:val="0"/>
            <w:vAlign w:val="center"/>
          </w:tcPr>
          <w:p w14:paraId="7C5AF554">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所有项目必须满足现今主流设备的需求，并能根据实际情况以及用户的要求进行及时做出硬件上的调整并负责做好相应设备的安装</w:t>
            </w:r>
          </w:p>
        </w:tc>
        <w:tc>
          <w:tcPr>
            <w:tcW w:w="984" w:type="dxa"/>
            <w:tcBorders>
              <w:tl2br w:val="nil"/>
              <w:tr2bl w:val="nil"/>
            </w:tcBorders>
            <w:noWrap w:val="0"/>
            <w:vAlign w:val="center"/>
          </w:tcPr>
          <w:p w14:paraId="30DB00D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236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4488E6E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6971" w:type="dxa"/>
            <w:tcBorders>
              <w:tl2br w:val="nil"/>
              <w:tr2bl w:val="nil"/>
            </w:tcBorders>
            <w:noWrap w:val="0"/>
            <w:vAlign w:val="center"/>
          </w:tcPr>
          <w:p w14:paraId="4F4E0C7B">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满足安装场地要求</w:t>
            </w:r>
          </w:p>
        </w:tc>
        <w:tc>
          <w:tcPr>
            <w:tcW w:w="984" w:type="dxa"/>
            <w:tcBorders>
              <w:tl2br w:val="nil"/>
              <w:tr2bl w:val="nil"/>
            </w:tcBorders>
            <w:noWrap w:val="0"/>
            <w:vAlign w:val="center"/>
          </w:tcPr>
          <w:p w14:paraId="78E42532">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C5A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36854FA4">
            <w:pPr>
              <w:widowControl/>
              <w:adjustRightInd w:val="0"/>
              <w:snapToGrid w:val="0"/>
              <w:spacing w:line="240" w:lineRule="atLeast"/>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rPr>
              <w:t>7</w:t>
            </w:r>
          </w:p>
        </w:tc>
        <w:tc>
          <w:tcPr>
            <w:tcW w:w="6971" w:type="dxa"/>
            <w:tcBorders>
              <w:bottom w:val="single" w:color="auto" w:sz="4" w:space="0"/>
              <w:tl2br w:val="nil"/>
              <w:tr2bl w:val="nil"/>
            </w:tcBorders>
            <w:noWrap w:val="0"/>
            <w:vAlign w:val="center"/>
          </w:tcPr>
          <w:p w14:paraId="7B3AEF83">
            <w:pPr>
              <w:widowControl/>
              <w:adjustRightInd w:val="0"/>
              <w:snapToGrid w:val="0"/>
              <w:spacing w:line="240" w:lineRule="atLeast"/>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不得随机配置需要使用耗材或试剂的设备</w:t>
            </w:r>
          </w:p>
        </w:tc>
        <w:tc>
          <w:tcPr>
            <w:tcW w:w="984" w:type="dxa"/>
            <w:tcBorders>
              <w:tl2br w:val="nil"/>
              <w:tr2bl w:val="nil"/>
            </w:tcBorders>
            <w:noWrap w:val="0"/>
            <w:vAlign w:val="center"/>
          </w:tcPr>
          <w:p w14:paraId="4638F8B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028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151F407A">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p>
        </w:tc>
        <w:tc>
          <w:tcPr>
            <w:tcW w:w="6971" w:type="dxa"/>
            <w:tcBorders>
              <w:top w:val="nil"/>
              <w:tl2br w:val="nil"/>
              <w:tr2bl w:val="nil"/>
            </w:tcBorders>
            <w:noWrap w:val="0"/>
            <w:vAlign w:val="center"/>
          </w:tcPr>
          <w:p w14:paraId="0875DDCD">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984" w:type="dxa"/>
            <w:tcBorders>
              <w:tl2br w:val="nil"/>
              <w:tr2bl w:val="nil"/>
            </w:tcBorders>
            <w:noWrap w:val="0"/>
            <w:vAlign w:val="center"/>
          </w:tcPr>
          <w:p w14:paraId="04F12694">
            <w:pPr>
              <w:widowControl/>
              <w:adjustRightInd w:val="0"/>
              <w:snapToGrid w:val="0"/>
              <w:spacing w:line="240" w:lineRule="atLeas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highlight w:val="none"/>
                <w:lang w:val="en-US" w:eastAsia="zh-CN"/>
              </w:rPr>
              <w:t>31个</w:t>
            </w:r>
          </w:p>
        </w:tc>
      </w:tr>
      <w:tr w14:paraId="152D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0A6408A6">
            <w:pPr>
              <w:widowControl/>
              <w:adjustRightInd w:val="0"/>
              <w:snapToGrid w:val="0"/>
              <w:spacing w:line="24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二</w:t>
            </w:r>
          </w:p>
        </w:tc>
        <w:tc>
          <w:tcPr>
            <w:tcW w:w="6971" w:type="dxa"/>
            <w:tcBorders>
              <w:tl2br w:val="nil"/>
              <w:tr2bl w:val="nil"/>
            </w:tcBorders>
            <w:noWrap w:val="0"/>
            <w:vAlign w:val="center"/>
          </w:tcPr>
          <w:p w14:paraId="564302C9">
            <w:pPr>
              <w:widowControl/>
              <w:adjustRightInd w:val="0"/>
              <w:snapToGrid w:val="0"/>
              <w:spacing w:line="240" w:lineRule="atLeast"/>
              <w:jc w:val="left"/>
              <w:rPr>
                <w:rFonts w:hint="eastAsia" w:ascii="宋体" w:hAnsi="宋体" w:eastAsia="宋体" w:cs="宋体"/>
                <w:b/>
                <w:kern w:val="0"/>
                <w:sz w:val="21"/>
                <w:szCs w:val="21"/>
              </w:rPr>
            </w:pPr>
            <w:r>
              <w:rPr>
                <w:rFonts w:hint="eastAsia" w:ascii="宋体" w:hAnsi="宋体" w:eastAsia="宋体" w:cs="宋体"/>
                <w:b/>
                <w:kern w:val="0"/>
                <w:sz w:val="21"/>
                <w:szCs w:val="21"/>
              </w:rPr>
              <w:t>技术要求</w:t>
            </w:r>
          </w:p>
        </w:tc>
        <w:tc>
          <w:tcPr>
            <w:tcW w:w="984" w:type="dxa"/>
            <w:tcBorders>
              <w:tl2br w:val="nil"/>
              <w:tr2bl w:val="nil"/>
            </w:tcBorders>
            <w:noWrap w:val="0"/>
            <w:vAlign w:val="center"/>
          </w:tcPr>
          <w:p w14:paraId="0A3BC224">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7802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3E315662">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w:t>
            </w:r>
          </w:p>
        </w:tc>
        <w:tc>
          <w:tcPr>
            <w:tcW w:w="6971" w:type="dxa"/>
            <w:tcBorders>
              <w:tl2br w:val="nil"/>
              <w:tr2bl w:val="nil"/>
            </w:tcBorders>
            <w:noWrap w:val="0"/>
            <w:vAlign w:val="center"/>
          </w:tcPr>
          <w:p w14:paraId="0746D8D7">
            <w:pPr>
              <w:widowControl/>
              <w:adjustRightInd w:val="0"/>
              <w:snapToGrid w:val="0"/>
              <w:spacing w:line="240" w:lineRule="atLeast"/>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整机要求</w:t>
            </w:r>
          </w:p>
        </w:tc>
        <w:tc>
          <w:tcPr>
            <w:tcW w:w="984" w:type="dxa"/>
            <w:tcBorders>
              <w:tl2br w:val="nil"/>
              <w:tr2bl w:val="nil"/>
            </w:tcBorders>
            <w:noWrap w:val="0"/>
            <w:vAlign w:val="center"/>
          </w:tcPr>
          <w:p w14:paraId="56376082">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1F9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37A62679">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1.1</w:t>
            </w:r>
          </w:p>
        </w:tc>
        <w:tc>
          <w:tcPr>
            <w:tcW w:w="6971" w:type="dxa"/>
            <w:tcBorders>
              <w:tl2br w:val="nil"/>
              <w:tr2bl w:val="nil"/>
            </w:tcBorders>
            <w:noWrap w:val="0"/>
            <w:vAlign w:val="center"/>
          </w:tcPr>
          <w:p w14:paraId="5FE41B6B">
            <w:pPr>
              <w:widowControl/>
              <w:adjustRightInd w:val="0"/>
              <w:snapToGrid w:val="0"/>
              <w:spacing w:line="240" w:lineRule="atLeast"/>
              <w:jc w:val="left"/>
              <w:rPr>
                <w:rFonts w:hint="eastAsia" w:ascii="宋体" w:hAnsi="宋体" w:eastAsia="宋体" w:cs="宋体"/>
                <w:bCs/>
                <w:kern w:val="0"/>
                <w:sz w:val="21"/>
                <w:szCs w:val="21"/>
              </w:rPr>
            </w:pPr>
            <w:r>
              <w:rPr>
                <w:rFonts w:hint="eastAsia" w:ascii="宋体" w:hAnsi="宋体" w:eastAsia="宋体" w:cs="宋体"/>
                <w:bCs/>
                <w:kern w:val="0"/>
                <w:sz w:val="21"/>
                <w:szCs w:val="21"/>
              </w:rPr>
              <w:t>遥测发射盒重量不超过</w:t>
            </w:r>
            <w:r>
              <w:rPr>
                <w:rFonts w:hint="eastAsia" w:ascii="宋体" w:hAnsi="宋体" w:eastAsia="宋体" w:cs="宋体"/>
                <w:bCs/>
                <w:kern w:val="0"/>
                <w:sz w:val="21"/>
                <w:szCs w:val="21"/>
                <w:lang w:val="en-US" w:eastAsia="zh-CN"/>
              </w:rPr>
              <w:t>220</w:t>
            </w:r>
            <w:r>
              <w:rPr>
                <w:rFonts w:hint="eastAsia" w:ascii="宋体" w:hAnsi="宋体" w:eastAsia="宋体" w:cs="宋体"/>
                <w:bCs/>
                <w:kern w:val="0"/>
                <w:sz w:val="21"/>
                <w:szCs w:val="21"/>
              </w:rPr>
              <w:t>克</w:t>
            </w:r>
          </w:p>
        </w:tc>
        <w:tc>
          <w:tcPr>
            <w:tcW w:w="984" w:type="dxa"/>
            <w:tcBorders>
              <w:tl2br w:val="nil"/>
              <w:tr2bl w:val="nil"/>
            </w:tcBorders>
            <w:noWrap w:val="0"/>
            <w:vAlign w:val="center"/>
          </w:tcPr>
          <w:p w14:paraId="326E3A46">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848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5210CEF8">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1.2</w:t>
            </w:r>
          </w:p>
        </w:tc>
        <w:tc>
          <w:tcPr>
            <w:tcW w:w="6971" w:type="dxa"/>
            <w:tcBorders>
              <w:tl2br w:val="nil"/>
              <w:tr2bl w:val="nil"/>
            </w:tcBorders>
            <w:noWrap w:val="0"/>
            <w:vAlign w:val="center"/>
          </w:tcPr>
          <w:p w14:paraId="2BC1BA9E">
            <w:pPr>
              <w:widowControl/>
              <w:adjustRightInd w:val="0"/>
              <w:snapToGrid w:val="0"/>
              <w:spacing w:line="240" w:lineRule="atLeast"/>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遥测发射盒防水等级符合IPX7要求，抗跌落测试通过1.5米跌落测试，电击防护等级CF</w:t>
            </w:r>
          </w:p>
        </w:tc>
        <w:tc>
          <w:tcPr>
            <w:tcW w:w="984" w:type="dxa"/>
            <w:tcBorders>
              <w:tl2br w:val="nil"/>
              <w:tr2bl w:val="nil"/>
            </w:tcBorders>
            <w:noWrap w:val="0"/>
            <w:vAlign w:val="center"/>
          </w:tcPr>
          <w:p w14:paraId="0B04BAF1">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971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6CB4BBE3">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1.3</w:t>
            </w:r>
          </w:p>
        </w:tc>
        <w:tc>
          <w:tcPr>
            <w:tcW w:w="6971" w:type="dxa"/>
            <w:tcBorders>
              <w:tl2br w:val="nil"/>
              <w:tr2bl w:val="nil"/>
            </w:tcBorders>
            <w:noWrap w:val="0"/>
            <w:vAlign w:val="center"/>
          </w:tcPr>
          <w:p w14:paraId="728404D6">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遥测发射盒采用彩色屏，屏幕尺寸≥1.5英寸，屏幕分辨率≥240 x 240像素</w:t>
            </w:r>
          </w:p>
        </w:tc>
        <w:tc>
          <w:tcPr>
            <w:tcW w:w="984" w:type="dxa"/>
            <w:tcBorders>
              <w:tl2br w:val="nil"/>
              <w:tr2bl w:val="nil"/>
            </w:tcBorders>
            <w:noWrap w:val="0"/>
            <w:vAlign w:val="center"/>
          </w:tcPr>
          <w:p w14:paraId="00FDF6BA">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014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7DC16B5B">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1.4</w:t>
            </w:r>
          </w:p>
        </w:tc>
        <w:tc>
          <w:tcPr>
            <w:tcW w:w="6971" w:type="dxa"/>
            <w:tcBorders>
              <w:tl2br w:val="nil"/>
              <w:tr2bl w:val="nil"/>
            </w:tcBorders>
            <w:noWrap w:val="0"/>
            <w:vAlign w:val="center"/>
          </w:tcPr>
          <w:p w14:paraId="10B8C03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遥测发射盒屏幕可同时显示至少2个参数和1道波形</w:t>
            </w:r>
          </w:p>
        </w:tc>
        <w:tc>
          <w:tcPr>
            <w:tcW w:w="984" w:type="dxa"/>
            <w:tcBorders>
              <w:tl2br w:val="nil"/>
              <w:tr2bl w:val="nil"/>
            </w:tcBorders>
            <w:noWrap w:val="0"/>
            <w:vAlign w:val="center"/>
          </w:tcPr>
          <w:p w14:paraId="4930FA5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33D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69EC7671">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w:t>
            </w:r>
          </w:p>
        </w:tc>
        <w:tc>
          <w:tcPr>
            <w:tcW w:w="6971" w:type="dxa"/>
            <w:tcBorders>
              <w:tl2br w:val="nil"/>
              <w:tr2bl w:val="nil"/>
            </w:tcBorders>
            <w:noWrap w:val="0"/>
            <w:vAlign w:val="center"/>
          </w:tcPr>
          <w:p w14:paraId="23C04182">
            <w:pPr>
              <w:widowControl/>
              <w:adjustRightInd w:val="0"/>
              <w:snapToGrid w:val="0"/>
              <w:spacing w:line="240" w:lineRule="atLeast"/>
              <w:jc w:val="left"/>
              <w:rPr>
                <w:rFonts w:hint="eastAsia" w:ascii="宋体" w:hAnsi="宋体" w:eastAsia="宋体" w:cs="宋体"/>
                <w:bCs/>
                <w:kern w:val="0"/>
                <w:sz w:val="21"/>
                <w:szCs w:val="21"/>
              </w:rPr>
            </w:pPr>
            <w:r>
              <w:rPr>
                <w:rFonts w:hint="eastAsia" w:ascii="宋体" w:hAnsi="宋体" w:eastAsia="宋体" w:cs="宋体"/>
                <w:bCs/>
                <w:kern w:val="0"/>
                <w:sz w:val="21"/>
                <w:szCs w:val="21"/>
              </w:rPr>
              <w:t>监测参数</w:t>
            </w:r>
          </w:p>
        </w:tc>
        <w:tc>
          <w:tcPr>
            <w:tcW w:w="984" w:type="dxa"/>
            <w:tcBorders>
              <w:tl2br w:val="nil"/>
              <w:tr2bl w:val="nil"/>
            </w:tcBorders>
            <w:noWrap w:val="0"/>
            <w:vAlign w:val="center"/>
          </w:tcPr>
          <w:p w14:paraId="7C81E542">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377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228A9883">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2.1</w:t>
            </w:r>
          </w:p>
        </w:tc>
        <w:tc>
          <w:tcPr>
            <w:tcW w:w="6971" w:type="dxa"/>
            <w:tcBorders>
              <w:tl2br w:val="nil"/>
              <w:tr2bl w:val="nil"/>
            </w:tcBorders>
            <w:noWrap w:val="0"/>
            <w:vAlign w:val="center"/>
          </w:tcPr>
          <w:p w14:paraId="1B466E3A">
            <w:pPr>
              <w:widowControl/>
              <w:adjustRightInd w:val="0"/>
              <w:snapToGrid w:val="0"/>
              <w:spacing w:line="240" w:lineRule="atLeast"/>
              <w:jc w:val="left"/>
              <w:rPr>
                <w:rFonts w:hint="eastAsia" w:ascii="宋体" w:hAnsi="宋体" w:eastAsia="宋体" w:cs="宋体"/>
                <w:bCs/>
                <w:kern w:val="0"/>
                <w:sz w:val="21"/>
                <w:szCs w:val="21"/>
              </w:rPr>
            </w:pPr>
            <w:r>
              <w:rPr>
                <w:rFonts w:hint="eastAsia" w:ascii="宋体" w:hAnsi="宋体" w:eastAsia="宋体" w:cs="宋体"/>
                <w:bCs/>
                <w:kern w:val="0"/>
                <w:sz w:val="21"/>
                <w:szCs w:val="21"/>
              </w:rPr>
              <w:t>标配心电监护，提供HR，ST，PVC测量值</w:t>
            </w:r>
          </w:p>
        </w:tc>
        <w:tc>
          <w:tcPr>
            <w:tcW w:w="984" w:type="dxa"/>
            <w:tcBorders>
              <w:tl2br w:val="nil"/>
              <w:tr2bl w:val="nil"/>
            </w:tcBorders>
            <w:noWrap w:val="0"/>
            <w:vAlign w:val="center"/>
          </w:tcPr>
          <w:p w14:paraId="38F5C6C4">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73A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76A04084">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#2.2</w:t>
            </w:r>
          </w:p>
        </w:tc>
        <w:tc>
          <w:tcPr>
            <w:tcW w:w="6971" w:type="dxa"/>
            <w:tcBorders>
              <w:tl2br w:val="nil"/>
              <w:tr2bl w:val="nil"/>
            </w:tcBorders>
            <w:noWrap w:val="0"/>
            <w:vAlign w:val="center"/>
          </w:tcPr>
          <w:p w14:paraId="4E7324AF">
            <w:pPr>
              <w:widowControl/>
              <w:adjustRightInd w:val="0"/>
              <w:snapToGrid w:val="0"/>
              <w:spacing w:line="240" w:lineRule="atLeast"/>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支持≥</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通道心电波形同步分析，可进行多导心电分析</w:t>
            </w:r>
          </w:p>
        </w:tc>
        <w:tc>
          <w:tcPr>
            <w:tcW w:w="984" w:type="dxa"/>
            <w:tcBorders>
              <w:tl2br w:val="nil"/>
              <w:tr2bl w:val="nil"/>
            </w:tcBorders>
            <w:noWrap w:val="0"/>
            <w:vAlign w:val="center"/>
          </w:tcPr>
          <w:p w14:paraId="0D967B1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5E2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15CAC7F5">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2.3</w:t>
            </w:r>
          </w:p>
        </w:tc>
        <w:tc>
          <w:tcPr>
            <w:tcW w:w="6971" w:type="dxa"/>
            <w:tcBorders>
              <w:tl2br w:val="nil"/>
              <w:tr2bl w:val="nil"/>
            </w:tcBorders>
            <w:noWrap w:val="0"/>
            <w:vAlign w:val="center"/>
          </w:tcPr>
          <w:p w14:paraId="23F6A005">
            <w:pPr>
              <w:widowControl/>
              <w:adjustRightInd w:val="0"/>
              <w:snapToGrid w:val="0"/>
              <w:spacing w:line="240" w:lineRule="atLeast"/>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具有抗运动算法，抗干扰性良好</w:t>
            </w:r>
          </w:p>
        </w:tc>
        <w:tc>
          <w:tcPr>
            <w:tcW w:w="984" w:type="dxa"/>
            <w:tcBorders>
              <w:tl2br w:val="nil"/>
              <w:tr2bl w:val="nil"/>
            </w:tcBorders>
            <w:noWrap w:val="0"/>
            <w:vAlign w:val="center"/>
          </w:tcPr>
          <w:p w14:paraId="21494B9D">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B68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30305797">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2.4</w:t>
            </w:r>
          </w:p>
        </w:tc>
        <w:tc>
          <w:tcPr>
            <w:tcW w:w="6971" w:type="dxa"/>
            <w:tcBorders>
              <w:tl2br w:val="nil"/>
              <w:tr2bl w:val="nil"/>
            </w:tcBorders>
            <w:noWrap w:val="0"/>
            <w:vAlign w:val="center"/>
          </w:tcPr>
          <w:p w14:paraId="3221F429">
            <w:pPr>
              <w:widowControl/>
              <w:adjustRightInd w:val="0"/>
              <w:snapToGrid w:val="0"/>
              <w:spacing w:line="240" w:lineRule="atLeast"/>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提供3/5导心电监护,心率测量范围：成人15–300 bpm，小儿15–350 bpm</w:t>
            </w:r>
          </w:p>
        </w:tc>
        <w:tc>
          <w:tcPr>
            <w:tcW w:w="984" w:type="dxa"/>
            <w:tcBorders>
              <w:tl2br w:val="nil"/>
              <w:tr2bl w:val="nil"/>
            </w:tcBorders>
            <w:noWrap w:val="0"/>
            <w:vAlign w:val="center"/>
          </w:tcPr>
          <w:p w14:paraId="386F3801">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0FA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49AC8236">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2.5</w:t>
            </w:r>
          </w:p>
        </w:tc>
        <w:tc>
          <w:tcPr>
            <w:tcW w:w="6971" w:type="dxa"/>
            <w:tcBorders>
              <w:tl2br w:val="nil"/>
              <w:tr2bl w:val="nil"/>
            </w:tcBorders>
            <w:noWrap w:val="0"/>
            <w:vAlign w:val="center"/>
          </w:tcPr>
          <w:p w14:paraId="33501275">
            <w:pPr>
              <w:widowControl/>
              <w:adjustRightInd w:val="0"/>
              <w:snapToGrid w:val="0"/>
              <w:spacing w:line="240" w:lineRule="atLeast"/>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心电滤波模式提供监护模式（0.5 -40Hz），ST模式（0.05 - 40Hz）, 运动模式（1</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rPr>
              <w:t>20 Hz）</w:t>
            </w:r>
          </w:p>
        </w:tc>
        <w:tc>
          <w:tcPr>
            <w:tcW w:w="984" w:type="dxa"/>
            <w:tcBorders>
              <w:tl2br w:val="nil"/>
              <w:tr2bl w:val="nil"/>
            </w:tcBorders>
            <w:noWrap w:val="0"/>
            <w:vAlign w:val="center"/>
          </w:tcPr>
          <w:p w14:paraId="36B55F0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06E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040" w:type="dxa"/>
            <w:tcBorders>
              <w:tl2br w:val="nil"/>
              <w:tr2bl w:val="nil"/>
            </w:tcBorders>
            <w:noWrap w:val="0"/>
            <w:vAlign w:val="center"/>
          </w:tcPr>
          <w:p w14:paraId="1B04A567">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2.6</w:t>
            </w:r>
          </w:p>
        </w:tc>
        <w:tc>
          <w:tcPr>
            <w:tcW w:w="6971" w:type="dxa"/>
            <w:tcBorders>
              <w:tl2br w:val="nil"/>
              <w:tr2bl w:val="nil"/>
            </w:tcBorders>
            <w:noWrap w:val="0"/>
            <w:vAlign w:val="center"/>
          </w:tcPr>
          <w:p w14:paraId="6CA07ABE">
            <w:pPr>
              <w:widowControl/>
              <w:adjustRightInd w:val="0"/>
              <w:snapToGrid w:val="0"/>
              <w:spacing w:line="240" w:lineRule="atLeast"/>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提供ST段分析，提供ST值，和每个ST的模板；ST图像化显示界面，可以快速查看ST值的变化；单个，多个ST值报警，并支持相对的报警限设置</w:t>
            </w:r>
          </w:p>
        </w:tc>
        <w:tc>
          <w:tcPr>
            <w:tcW w:w="984" w:type="dxa"/>
            <w:tcBorders>
              <w:tl2br w:val="nil"/>
              <w:tr2bl w:val="nil"/>
            </w:tcBorders>
            <w:noWrap w:val="0"/>
            <w:vAlign w:val="center"/>
          </w:tcPr>
          <w:p w14:paraId="3B2400B8">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E59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4EE0B1BE">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2.7</w:t>
            </w:r>
          </w:p>
        </w:tc>
        <w:tc>
          <w:tcPr>
            <w:tcW w:w="6971" w:type="dxa"/>
            <w:tcBorders>
              <w:tl2br w:val="nil"/>
              <w:tr2bl w:val="nil"/>
            </w:tcBorders>
            <w:noWrap w:val="0"/>
            <w:vAlign w:val="center"/>
          </w:tcPr>
          <w:p w14:paraId="6BA13538">
            <w:pPr>
              <w:widowControl/>
              <w:adjustRightInd w:val="0"/>
              <w:snapToGrid w:val="0"/>
              <w:spacing w:line="240" w:lineRule="atLeast"/>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提供起搏分析</w:t>
            </w:r>
          </w:p>
        </w:tc>
        <w:tc>
          <w:tcPr>
            <w:tcW w:w="984" w:type="dxa"/>
            <w:tcBorders>
              <w:tl2br w:val="nil"/>
              <w:tr2bl w:val="nil"/>
            </w:tcBorders>
            <w:noWrap w:val="0"/>
            <w:vAlign w:val="center"/>
          </w:tcPr>
          <w:p w14:paraId="7DDB08BD">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087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547D42C2">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2.8</w:t>
            </w:r>
          </w:p>
        </w:tc>
        <w:tc>
          <w:tcPr>
            <w:tcW w:w="6971" w:type="dxa"/>
            <w:tcBorders>
              <w:tl2br w:val="nil"/>
              <w:tr2bl w:val="nil"/>
            </w:tcBorders>
            <w:noWrap w:val="0"/>
            <w:vAlign w:val="center"/>
          </w:tcPr>
          <w:p w14:paraId="0AD452C7">
            <w:pPr>
              <w:widowControl/>
              <w:adjustRightInd w:val="0"/>
              <w:snapToGrid w:val="0"/>
              <w:spacing w:line="240" w:lineRule="atLeast"/>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具有QT/QTc测量功能，提供QT，QTc和ΔQTc参数值</w:t>
            </w:r>
          </w:p>
        </w:tc>
        <w:tc>
          <w:tcPr>
            <w:tcW w:w="984" w:type="dxa"/>
            <w:tcBorders>
              <w:tl2br w:val="nil"/>
              <w:tr2bl w:val="nil"/>
            </w:tcBorders>
            <w:noWrap w:val="0"/>
            <w:vAlign w:val="center"/>
          </w:tcPr>
          <w:p w14:paraId="2111BF9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63A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029F0125">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2.9</w:t>
            </w:r>
          </w:p>
        </w:tc>
        <w:tc>
          <w:tcPr>
            <w:tcW w:w="6971" w:type="dxa"/>
            <w:tcBorders>
              <w:tl2br w:val="nil"/>
              <w:tr2bl w:val="nil"/>
            </w:tcBorders>
            <w:noWrap w:val="0"/>
            <w:vAlign w:val="center"/>
          </w:tcPr>
          <w:p w14:paraId="72595F4D">
            <w:pPr>
              <w:widowControl/>
              <w:adjustRightInd w:val="0"/>
              <w:snapToGrid w:val="0"/>
              <w:spacing w:line="240" w:lineRule="atLeast"/>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支持房颤及室上性心律失常分析功能，如：室上性心动过速，SVCs/min等，标配支持≥</w:t>
            </w:r>
            <w:r>
              <w:rPr>
                <w:rFonts w:hint="eastAsia" w:ascii="宋体" w:hAnsi="宋体" w:eastAsia="宋体" w:cs="宋体"/>
                <w:bCs/>
                <w:kern w:val="0"/>
                <w:sz w:val="21"/>
                <w:szCs w:val="21"/>
                <w:lang w:val="en-US" w:eastAsia="zh-CN"/>
              </w:rPr>
              <w:t>25</w:t>
            </w:r>
            <w:r>
              <w:rPr>
                <w:rFonts w:hint="eastAsia" w:ascii="宋体" w:hAnsi="宋体" w:eastAsia="宋体" w:cs="宋体"/>
                <w:bCs/>
                <w:kern w:val="0"/>
                <w:sz w:val="21"/>
                <w:szCs w:val="21"/>
              </w:rPr>
              <w:t>种实时心律失常分析</w:t>
            </w:r>
          </w:p>
        </w:tc>
        <w:tc>
          <w:tcPr>
            <w:tcW w:w="984" w:type="dxa"/>
            <w:tcBorders>
              <w:tl2br w:val="nil"/>
              <w:tr2bl w:val="nil"/>
            </w:tcBorders>
            <w:noWrap w:val="0"/>
            <w:vAlign w:val="center"/>
          </w:tcPr>
          <w:p w14:paraId="1E9C11B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33A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00A3B34E">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w:t>
            </w:r>
          </w:p>
        </w:tc>
        <w:tc>
          <w:tcPr>
            <w:tcW w:w="6971" w:type="dxa"/>
            <w:tcBorders>
              <w:tl2br w:val="nil"/>
              <w:tr2bl w:val="nil"/>
            </w:tcBorders>
            <w:noWrap w:val="0"/>
            <w:vAlign w:val="center"/>
          </w:tcPr>
          <w:p w14:paraId="46BFAD3B">
            <w:pPr>
              <w:widowControl/>
              <w:adjustRightInd w:val="0"/>
              <w:snapToGrid w:val="0"/>
              <w:spacing w:line="240" w:lineRule="atLeast"/>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系统功能</w:t>
            </w:r>
          </w:p>
        </w:tc>
        <w:tc>
          <w:tcPr>
            <w:tcW w:w="984" w:type="dxa"/>
            <w:tcBorders>
              <w:tl2br w:val="nil"/>
              <w:tr2bl w:val="nil"/>
            </w:tcBorders>
            <w:noWrap w:val="0"/>
            <w:vAlign w:val="center"/>
          </w:tcPr>
          <w:p w14:paraId="2B008C83">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7D7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1A08702F">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3.1</w:t>
            </w:r>
          </w:p>
        </w:tc>
        <w:tc>
          <w:tcPr>
            <w:tcW w:w="6971" w:type="dxa"/>
            <w:tcBorders>
              <w:tl2br w:val="nil"/>
              <w:tr2bl w:val="nil"/>
            </w:tcBorders>
            <w:noWrap w:val="0"/>
            <w:vAlign w:val="center"/>
          </w:tcPr>
          <w:p w14:paraId="5B5D887F">
            <w:pPr>
              <w:widowControl/>
              <w:adjustRightInd w:val="0"/>
              <w:snapToGrid w:val="0"/>
              <w:spacing w:line="240" w:lineRule="atLeast"/>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遥测发射盒主界面上能够显示病人信息</w:t>
            </w:r>
          </w:p>
        </w:tc>
        <w:tc>
          <w:tcPr>
            <w:tcW w:w="984" w:type="dxa"/>
            <w:tcBorders>
              <w:tl2br w:val="nil"/>
              <w:tr2bl w:val="nil"/>
            </w:tcBorders>
            <w:noWrap w:val="0"/>
            <w:vAlign w:val="center"/>
          </w:tcPr>
          <w:p w14:paraId="2EF22452">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56B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0A2319B5">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3.2</w:t>
            </w:r>
          </w:p>
        </w:tc>
        <w:tc>
          <w:tcPr>
            <w:tcW w:w="6971" w:type="dxa"/>
            <w:tcBorders>
              <w:tl2br w:val="nil"/>
              <w:tr2bl w:val="nil"/>
            </w:tcBorders>
            <w:noWrap w:val="0"/>
            <w:vAlign w:val="center"/>
          </w:tcPr>
          <w:p w14:paraId="07680A49">
            <w:pPr>
              <w:widowControl/>
              <w:adjustRightInd w:val="0"/>
              <w:snapToGrid w:val="0"/>
              <w:spacing w:line="240" w:lineRule="atLeast"/>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支持在同品牌监护仪上通过它床观察的方式查看连接到中央站的遥测监测数据和报警</w:t>
            </w:r>
          </w:p>
        </w:tc>
        <w:tc>
          <w:tcPr>
            <w:tcW w:w="984" w:type="dxa"/>
            <w:tcBorders>
              <w:tl2br w:val="nil"/>
              <w:tr2bl w:val="nil"/>
            </w:tcBorders>
            <w:noWrap w:val="0"/>
            <w:vAlign w:val="center"/>
          </w:tcPr>
          <w:p w14:paraId="107BA732">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0F9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0D6FFC68">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3.3</w:t>
            </w:r>
          </w:p>
        </w:tc>
        <w:tc>
          <w:tcPr>
            <w:tcW w:w="6971" w:type="dxa"/>
            <w:tcBorders>
              <w:tl2br w:val="nil"/>
              <w:tr2bl w:val="nil"/>
            </w:tcBorders>
            <w:noWrap w:val="0"/>
            <w:vAlign w:val="center"/>
          </w:tcPr>
          <w:p w14:paraId="5BD164D6">
            <w:pPr>
              <w:widowControl/>
              <w:adjustRightInd w:val="0"/>
              <w:snapToGrid w:val="0"/>
              <w:spacing w:line="240" w:lineRule="atLeast"/>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支持设备实时定位和设备历史位置追踪功能</w:t>
            </w:r>
          </w:p>
        </w:tc>
        <w:tc>
          <w:tcPr>
            <w:tcW w:w="984" w:type="dxa"/>
            <w:tcBorders>
              <w:tl2br w:val="nil"/>
              <w:tr2bl w:val="nil"/>
            </w:tcBorders>
            <w:noWrap w:val="0"/>
            <w:vAlign w:val="center"/>
          </w:tcPr>
          <w:p w14:paraId="7E8901E3">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90A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46415EA0">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3.4</w:t>
            </w:r>
          </w:p>
        </w:tc>
        <w:tc>
          <w:tcPr>
            <w:tcW w:w="6971" w:type="dxa"/>
            <w:tcBorders>
              <w:tl2br w:val="nil"/>
              <w:tr2bl w:val="nil"/>
            </w:tcBorders>
            <w:noWrap w:val="0"/>
            <w:vAlign w:val="center"/>
          </w:tcPr>
          <w:p w14:paraId="5AE7DB4A">
            <w:pPr>
              <w:widowControl/>
              <w:adjustRightInd w:val="0"/>
              <w:snapToGrid w:val="0"/>
              <w:spacing w:line="240" w:lineRule="atLeast"/>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支持给患者发送消息</w:t>
            </w:r>
          </w:p>
        </w:tc>
        <w:tc>
          <w:tcPr>
            <w:tcW w:w="984" w:type="dxa"/>
            <w:tcBorders>
              <w:tl2br w:val="nil"/>
              <w:tr2bl w:val="nil"/>
            </w:tcBorders>
            <w:noWrap w:val="0"/>
            <w:vAlign w:val="center"/>
          </w:tcPr>
          <w:p w14:paraId="3EBF0CC2">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D3C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132334F3">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3.5</w:t>
            </w:r>
          </w:p>
        </w:tc>
        <w:tc>
          <w:tcPr>
            <w:tcW w:w="6971" w:type="dxa"/>
            <w:tcBorders>
              <w:tl2br w:val="nil"/>
              <w:tr2bl w:val="nil"/>
            </w:tcBorders>
            <w:noWrap w:val="0"/>
            <w:vAlign w:val="center"/>
          </w:tcPr>
          <w:p w14:paraId="03AA8DAE">
            <w:pPr>
              <w:widowControl/>
              <w:adjustRightInd w:val="0"/>
              <w:snapToGrid w:val="0"/>
              <w:spacing w:line="240" w:lineRule="atLeast"/>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标配AA 1.5V电池供电</w:t>
            </w:r>
          </w:p>
        </w:tc>
        <w:tc>
          <w:tcPr>
            <w:tcW w:w="984" w:type="dxa"/>
            <w:tcBorders>
              <w:tl2br w:val="nil"/>
              <w:tr2bl w:val="nil"/>
            </w:tcBorders>
            <w:noWrap w:val="0"/>
            <w:vAlign w:val="center"/>
          </w:tcPr>
          <w:p w14:paraId="58CDD45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EEC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7536E74B">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3.6</w:t>
            </w:r>
          </w:p>
        </w:tc>
        <w:tc>
          <w:tcPr>
            <w:tcW w:w="6971" w:type="dxa"/>
            <w:tcBorders>
              <w:tl2br w:val="nil"/>
              <w:tr2bl w:val="nil"/>
            </w:tcBorders>
            <w:noWrap w:val="0"/>
            <w:vAlign w:val="center"/>
          </w:tcPr>
          <w:p w14:paraId="41FB95D4">
            <w:pPr>
              <w:widowControl/>
              <w:adjustRightInd w:val="0"/>
              <w:snapToGrid w:val="0"/>
              <w:spacing w:line="240" w:lineRule="atLeast"/>
              <w:jc w:val="left"/>
              <w:rPr>
                <w:rFonts w:hint="eastAsia" w:ascii="宋体" w:hAnsi="宋体" w:eastAsia="宋体" w:cs="宋体"/>
                <w:bCs/>
                <w:kern w:val="0"/>
                <w:sz w:val="21"/>
                <w:szCs w:val="21"/>
                <w:lang w:val="en-US" w:eastAsia="zh-CN" w:bidi="ar-SA"/>
              </w:rPr>
            </w:pPr>
            <w:r>
              <w:rPr>
                <w:rFonts w:hint="eastAsia" w:ascii="宋体" w:hAnsi="宋体" w:eastAsia="宋体" w:cs="宋体"/>
                <w:bCs/>
                <w:strike w:val="0"/>
                <w:kern w:val="0"/>
                <w:sz w:val="21"/>
                <w:szCs w:val="21"/>
              </w:rPr>
              <w:t>采用</w:t>
            </w:r>
            <w:r>
              <w:rPr>
                <w:rFonts w:hint="eastAsia" w:ascii="宋体" w:hAnsi="宋体" w:eastAsia="宋体" w:cs="宋体"/>
                <w:bCs/>
                <w:kern w:val="0"/>
                <w:sz w:val="21"/>
                <w:szCs w:val="21"/>
              </w:rPr>
              <w:t>无线网络传输技术</w:t>
            </w:r>
            <w:r>
              <w:rPr>
                <w:rFonts w:hint="eastAsia" w:ascii="宋体" w:hAnsi="宋体" w:eastAsia="宋体" w:cs="宋体"/>
                <w:bCs/>
                <w:strike/>
                <w:color w:val="FF0000"/>
                <w:kern w:val="0"/>
                <w:sz w:val="21"/>
                <w:szCs w:val="21"/>
              </w:rPr>
              <w:t>，</w:t>
            </w:r>
            <w:r>
              <w:rPr>
                <w:rFonts w:hint="eastAsia" w:ascii="宋体" w:hAnsi="宋体" w:eastAsia="宋体" w:cs="宋体"/>
                <w:bCs/>
                <w:kern w:val="0"/>
                <w:sz w:val="21"/>
                <w:szCs w:val="21"/>
              </w:rPr>
              <w:t>实现遥测数据的传输</w:t>
            </w:r>
          </w:p>
        </w:tc>
        <w:tc>
          <w:tcPr>
            <w:tcW w:w="984" w:type="dxa"/>
            <w:tcBorders>
              <w:tl2br w:val="nil"/>
              <w:tr2bl w:val="nil"/>
            </w:tcBorders>
            <w:noWrap w:val="0"/>
            <w:vAlign w:val="center"/>
          </w:tcPr>
          <w:p w14:paraId="6C027008">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987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7504CBD3">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w:t>
            </w:r>
          </w:p>
        </w:tc>
        <w:tc>
          <w:tcPr>
            <w:tcW w:w="6971" w:type="dxa"/>
            <w:tcBorders>
              <w:tl2br w:val="nil"/>
              <w:tr2bl w:val="nil"/>
            </w:tcBorders>
            <w:noWrap w:val="0"/>
            <w:vAlign w:val="center"/>
          </w:tcPr>
          <w:p w14:paraId="1E9DCE96">
            <w:pPr>
              <w:widowControl/>
              <w:adjustRightInd w:val="0"/>
              <w:snapToGrid w:val="0"/>
              <w:spacing w:line="240" w:lineRule="atLeast"/>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中央站要求</w:t>
            </w:r>
          </w:p>
        </w:tc>
        <w:tc>
          <w:tcPr>
            <w:tcW w:w="984" w:type="dxa"/>
            <w:tcBorders>
              <w:tl2br w:val="nil"/>
              <w:tr2bl w:val="nil"/>
            </w:tcBorders>
            <w:noWrap w:val="0"/>
            <w:vAlign w:val="center"/>
          </w:tcPr>
          <w:p w14:paraId="09BB14F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8FC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183BDA4A">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4.1</w:t>
            </w:r>
          </w:p>
        </w:tc>
        <w:tc>
          <w:tcPr>
            <w:tcW w:w="6971" w:type="dxa"/>
            <w:tcBorders>
              <w:tl2br w:val="nil"/>
              <w:tr2bl w:val="nil"/>
            </w:tcBorders>
            <w:noWrap w:val="0"/>
            <w:vAlign w:val="center"/>
          </w:tcPr>
          <w:p w14:paraId="05A8AAF6">
            <w:pPr>
              <w:widowControl/>
              <w:adjustRightInd w:val="0"/>
              <w:snapToGrid w:val="0"/>
              <w:spacing w:line="240" w:lineRule="atLeast"/>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支持单床重点观察，查看病人的参数，波形和报警全部实时信息</w:t>
            </w:r>
          </w:p>
        </w:tc>
        <w:tc>
          <w:tcPr>
            <w:tcW w:w="984" w:type="dxa"/>
            <w:tcBorders>
              <w:tl2br w:val="nil"/>
              <w:tr2bl w:val="nil"/>
            </w:tcBorders>
            <w:noWrap w:val="0"/>
            <w:vAlign w:val="center"/>
          </w:tcPr>
          <w:p w14:paraId="5BC31DB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B64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5E6A01B0">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4.2</w:t>
            </w:r>
          </w:p>
        </w:tc>
        <w:tc>
          <w:tcPr>
            <w:tcW w:w="6971" w:type="dxa"/>
            <w:tcBorders>
              <w:tl2br w:val="nil"/>
              <w:tr2bl w:val="nil"/>
            </w:tcBorders>
            <w:noWrap w:val="0"/>
            <w:vAlign w:val="center"/>
          </w:tcPr>
          <w:p w14:paraId="1158D812">
            <w:pPr>
              <w:widowControl/>
              <w:adjustRightInd w:val="0"/>
              <w:snapToGrid w:val="0"/>
              <w:spacing w:line="240" w:lineRule="atLeast"/>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病人趋势数据支持趋势图和趋势表回顾，提供趋势组和用户自定义趋势组来满足不同临床病人趋势数据回顾的需求</w:t>
            </w:r>
          </w:p>
        </w:tc>
        <w:tc>
          <w:tcPr>
            <w:tcW w:w="984" w:type="dxa"/>
            <w:tcBorders>
              <w:tl2br w:val="nil"/>
              <w:tr2bl w:val="nil"/>
            </w:tcBorders>
            <w:noWrap w:val="0"/>
            <w:vAlign w:val="center"/>
          </w:tcPr>
          <w:p w14:paraId="6CB86C2E">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00A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50B540A8">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4.3</w:t>
            </w:r>
          </w:p>
        </w:tc>
        <w:tc>
          <w:tcPr>
            <w:tcW w:w="6971" w:type="dxa"/>
            <w:tcBorders>
              <w:tl2br w:val="nil"/>
              <w:tr2bl w:val="nil"/>
            </w:tcBorders>
            <w:noWrap w:val="0"/>
            <w:vAlign w:val="center"/>
          </w:tcPr>
          <w:p w14:paraId="3B108825">
            <w:pPr>
              <w:widowControl/>
              <w:adjustRightInd w:val="0"/>
              <w:snapToGrid w:val="0"/>
              <w:spacing w:line="240" w:lineRule="atLeast"/>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支持每个在线监护病人最近240 小时的ST 片段数据存储，回顾，记录和打印</w:t>
            </w:r>
          </w:p>
        </w:tc>
        <w:tc>
          <w:tcPr>
            <w:tcW w:w="984" w:type="dxa"/>
            <w:tcBorders>
              <w:tl2br w:val="nil"/>
              <w:tr2bl w:val="nil"/>
            </w:tcBorders>
            <w:noWrap w:val="0"/>
            <w:vAlign w:val="center"/>
          </w:tcPr>
          <w:p w14:paraId="05588F6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4DA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56BF138C">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4.4</w:t>
            </w:r>
          </w:p>
        </w:tc>
        <w:tc>
          <w:tcPr>
            <w:tcW w:w="6971" w:type="dxa"/>
            <w:tcBorders>
              <w:tl2br w:val="nil"/>
              <w:tr2bl w:val="nil"/>
            </w:tcBorders>
            <w:noWrap w:val="0"/>
            <w:vAlign w:val="center"/>
          </w:tcPr>
          <w:p w14:paraId="21B90AFB">
            <w:pPr>
              <w:widowControl/>
              <w:adjustRightInd w:val="0"/>
              <w:snapToGrid w:val="0"/>
              <w:spacing w:line="240" w:lineRule="atLeast"/>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至少支持6</w:t>
            </w:r>
            <w:r>
              <w:rPr>
                <w:rFonts w:hint="eastAsia" w:ascii="宋体" w:hAnsi="宋体" w:eastAsia="宋体" w:cs="宋体"/>
                <w:bCs/>
                <w:color w:val="000000"/>
                <w:kern w:val="0"/>
                <w:sz w:val="21"/>
                <w:szCs w:val="21"/>
                <w:lang w:eastAsia="zh-CN"/>
              </w:rPr>
              <w:t>0</w:t>
            </w:r>
            <w:r>
              <w:rPr>
                <w:rFonts w:hint="eastAsia" w:ascii="宋体" w:hAnsi="宋体" w:eastAsia="宋体" w:cs="宋体"/>
                <w:bCs/>
                <w:color w:val="000000"/>
                <w:kern w:val="0"/>
                <w:sz w:val="21"/>
                <w:szCs w:val="21"/>
              </w:rPr>
              <w:t>床病人集中管理</w:t>
            </w:r>
          </w:p>
        </w:tc>
        <w:tc>
          <w:tcPr>
            <w:tcW w:w="984" w:type="dxa"/>
            <w:tcBorders>
              <w:tl2br w:val="nil"/>
              <w:tr2bl w:val="nil"/>
            </w:tcBorders>
            <w:noWrap w:val="0"/>
            <w:vAlign w:val="center"/>
          </w:tcPr>
          <w:p w14:paraId="121BEC8A">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AF2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095B76EA">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4.5</w:t>
            </w:r>
          </w:p>
        </w:tc>
        <w:tc>
          <w:tcPr>
            <w:tcW w:w="6971" w:type="dxa"/>
            <w:tcBorders>
              <w:tl2br w:val="nil"/>
              <w:tr2bl w:val="nil"/>
            </w:tcBorders>
            <w:noWrap w:val="0"/>
            <w:vAlign w:val="center"/>
          </w:tcPr>
          <w:p w14:paraId="1D81D908">
            <w:pPr>
              <w:widowControl/>
              <w:adjustRightInd w:val="0"/>
              <w:snapToGrid w:val="0"/>
              <w:spacing w:line="240" w:lineRule="atLeast"/>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具备SSL通信加密</w:t>
            </w:r>
          </w:p>
        </w:tc>
        <w:tc>
          <w:tcPr>
            <w:tcW w:w="984" w:type="dxa"/>
            <w:tcBorders>
              <w:tl2br w:val="nil"/>
              <w:tr2bl w:val="nil"/>
            </w:tcBorders>
            <w:noWrap w:val="0"/>
            <w:vAlign w:val="center"/>
          </w:tcPr>
          <w:p w14:paraId="5D9E0B6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693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3DC1E337">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4.6</w:t>
            </w:r>
          </w:p>
        </w:tc>
        <w:tc>
          <w:tcPr>
            <w:tcW w:w="6971" w:type="dxa"/>
            <w:tcBorders>
              <w:tl2br w:val="nil"/>
              <w:tr2bl w:val="nil"/>
            </w:tcBorders>
            <w:noWrap w:val="0"/>
            <w:vAlign w:val="center"/>
          </w:tcPr>
          <w:p w14:paraId="3D806F39">
            <w:pPr>
              <w:widowControl/>
              <w:adjustRightInd w:val="0"/>
              <w:snapToGrid w:val="0"/>
              <w:spacing w:line="240" w:lineRule="atLeast"/>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病人心电波形的回顾中发生的心律失常事件波形片段以不同颜色进行标示，警示病人心电的异常信息</w:t>
            </w:r>
          </w:p>
        </w:tc>
        <w:tc>
          <w:tcPr>
            <w:tcW w:w="984" w:type="dxa"/>
            <w:tcBorders>
              <w:tl2br w:val="nil"/>
              <w:tr2bl w:val="nil"/>
            </w:tcBorders>
            <w:noWrap w:val="0"/>
            <w:vAlign w:val="center"/>
          </w:tcPr>
          <w:p w14:paraId="09389BD6">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8B0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4ABF2603">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4.7</w:t>
            </w:r>
          </w:p>
        </w:tc>
        <w:tc>
          <w:tcPr>
            <w:tcW w:w="6971" w:type="dxa"/>
            <w:tcBorders>
              <w:tl2br w:val="nil"/>
              <w:tr2bl w:val="nil"/>
            </w:tcBorders>
            <w:noWrap w:val="0"/>
            <w:vAlign w:val="center"/>
          </w:tcPr>
          <w:p w14:paraId="6799C392">
            <w:pPr>
              <w:widowControl/>
              <w:adjustRightInd w:val="0"/>
              <w:snapToGrid w:val="0"/>
              <w:spacing w:line="240" w:lineRule="atLeast"/>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病人心电波形支持卡规测量，支持对于病人QRS，RR，QT和QTC值进行测量，并支持报告打印</w:t>
            </w:r>
          </w:p>
        </w:tc>
        <w:tc>
          <w:tcPr>
            <w:tcW w:w="984" w:type="dxa"/>
            <w:tcBorders>
              <w:tl2br w:val="nil"/>
              <w:tr2bl w:val="nil"/>
            </w:tcBorders>
            <w:noWrap w:val="0"/>
            <w:vAlign w:val="center"/>
          </w:tcPr>
          <w:p w14:paraId="5684A21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029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14DDDD2D">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4.8</w:t>
            </w:r>
          </w:p>
        </w:tc>
        <w:tc>
          <w:tcPr>
            <w:tcW w:w="6971" w:type="dxa"/>
            <w:tcBorders>
              <w:tl2br w:val="nil"/>
              <w:tr2bl w:val="nil"/>
            </w:tcBorders>
            <w:noWrap w:val="0"/>
            <w:vAlign w:val="center"/>
          </w:tcPr>
          <w:p w14:paraId="193CB50A">
            <w:pPr>
              <w:widowControl/>
              <w:adjustRightInd w:val="0"/>
              <w:snapToGrid w:val="0"/>
              <w:spacing w:line="240" w:lineRule="atLeast"/>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支持心律失常事件统计功能，支持对于统计结果输出打印报告</w:t>
            </w:r>
          </w:p>
        </w:tc>
        <w:tc>
          <w:tcPr>
            <w:tcW w:w="984" w:type="dxa"/>
            <w:tcBorders>
              <w:tl2br w:val="nil"/>
              <w:tr2bl w:val="nil"/>
            </w:tcBorders>
            <w:noWrap w:val="0"/>
            <w:vAlign w:val="center"/>
          </w:tcPr>
          <w:p w14:paraId="4D28FFF6">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E55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23B05479">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4.9</w:t>
            </w:r>
          </w:p>
        </w:tc>
        <w:tc>
          <w:tcPr>
            <w:tcW w:w="6971" w:type="dxa"/>
            <w:tcBorders>
              <w:tl2br w:val="nil"/>
              <w:tr2bl w:val="nil"/>
            </w:tcBorders>
            <w:noWrap w:val="0"/>
            <w:vAlign w:val="center"/>
          </w:tcPr>
          <w:p w14:paraId="7AAA33B9">
            <w:pPr>
              <w:widowControl/>
              <w:adjustRightInd w:val="0"/>
              <w:snapToGrid w:val="0"/>
              <w:spacing w:line="240" w:lineRule="atLeast"/>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提供病人报告定时打印功能，支持护理团队交接班时病人报告的自动打印，提供科室的工作效率</w:t>
            </w:r>
          </w:p>
        </w:tc>
        <w:tc>
          <w:tcPr>
            <w:tcW w:w="984" w:type="dxa"/>
            <w:tcBorders>
              <w:tl2br w:val="nil"/>
              <w:tr2bl w:val="nil"/>
            </w:tcBorders>
            <w:noWrap w:val="0"/>
            <w:vAlign w:val="center"/>
          </w:tcPr>
          <w:p w14:paraId="51B357E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9DC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164916EE">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4.10</w:t>
            </w:r>
          </w:p>
        </w:tc>
        <w:tc>
          <w:tcPr>
            <w:tcW w:w="6971" w:type="dxa"/>
            <w:tcBorders>
              <w:tl2br w:val="nil"/>
              <w:tr2bl w:val="nil"/>
            </w:tcBorders>
            <w:noWrap w:val="0"/>
            <w:vAlign w:val="center"/>
          </w:tcPr>
          <w:p w14:paraId="16CF2901">
            <w:pPr>
              <w:widowControl/>
              <w:adjustRightInd w:val="0"/>
              <w:snapToGrid w:val="0"/>
              <w:spacing w:line="240" w:lineRule="atLeast"/>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提供药物剂量计算、滴定表计算、血液动力学计算、氧合计算、通气计算和肾功能计算功能</w:t>
            </w:r>
          </w:p>
        </w:tc>
        <w:tc>
          <w:tcPr>
            <w:tcW w:w="984" w:type="dxa"/>
            <w:tcBorders>
              <w:tl2br w:val="nil"/>
              <w:tr2bl w:val="nil"/>
            </w:tcBorders>
            <w:noWrap w:val="0"/>
            <w:vAlign w:val="center"/>
          </w:tcPr>
          <w:p w14:paraId="1EAE9F2D">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EF4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356A3C81">
            <w:pPr>
              <w:widowControl/>
              <w:adjustRightInd w:val="0"/>
              <w:snapToGrid w:val="0"/>
              <w:spacing w:line="240" w:lineRule="atLeas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4.11</w:t>
            </w:r>
          </w:p>
        </w:tc>
        <w:tc>
          <w:tcPr>
            <w:tcW w:w="6971" w:type="dxa"/>
            <w:tcBorders>
              <w:tl2br w:val="nil"/>
              <w:tr2bl w:val="nil"/>
            </w:tcBorders>
            <w:noWrap w:val="0"/>
            <w:vAlign w:val="center"/>
          </w:tcPr>
          <w:p w14:paraId="6D236509">
            <w:pPr>
              <w:widowControl/>
              <w:adjustRightInd w:val="0"/>
              <w:snapToGrid w:val="0"/>
              <w:spacing w:line="240" w:lineRule="atLeast"/>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支持系统操作日志和报警日志的记录及日志导出功能，支持发生临床事件或者系统异常时对于事件的跟踪</w:t>
            </w:r>
          </w:p>
        </w:tc>
        <w:tc>
          <w:tcPr>
            <w:tcW w:w="984" w:type="dxa"/>
            <w:tcBorders>
              <w:tl2br w:val="nil"/>
              <w:tr2bl w:val="nil"/>
            </w:tcBorders>
            <w:noWrap w:val="0"/>
            <w:vAlign w:val="center"/>
          </w:tcPr>
          <w:p w14:paraId="68C9C8C7">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71A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53810D21">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6971" w:type="dxa"/>
            <w:tcBorders>
              <w:tl2br w:val="nil"/>
              <w:tr2bl w:val="nil"/>
            </w:tcBorders>
            <w:noWrap w:val="0"/>
            <w:vAlign w:val="center"/>
          </w:tcPr>
          <w:p w14:paraId="3564CDFD">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使用年限≥</w:t>
            </w: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rPr>
              <w:t>年</w:t>
            </w:r>
            <w:r>
              <w:rPr>
                <w:rFonts w:hint="eastAsia" w:ascii="宋体" w:hAnsi="宋体" w:eastAsia="宋体" w:cs="宋体"/>
                <w:kern w:val="0"/>
                <w:sz w:val="21"/>
                <w:szCs w:val="21"/>
              </w:rPr>
              <w:t>，提供铭牌或说明书证明</w:t>
            </w:r>
          </w:p>
        </w:tc>
        <w:tc>
          <w:tcPr>
            <w:tcW w:w="984" w:type="dxa"/>
            <w:tcBorders>
              <w:tl2br w:val="nil"/>
              <w:tr2bl w:val="nil"/>
            </w:tcBorders>
            <w:noWrap w:val="0"/>
            <w:vAlign w:val="center"/>
          </w:tcPr>
          <w:p w14:paraId="5717FA8E">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A03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6A117E06">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w:t>
            </w:r>
          </w:p>
        </w:tc>
        <w:tc>
          <w:tcPr>
            <w:tcW w:w="6971" w:type="dxa"/>
            <w:tcBorders>
              <w:tl2br w:val="nil"/>
              <w:tr2bl w:val="nil"/>
            </w:tcBorders>
            <w:noWrap w:val="0"/>
            <w:vAlign w:val="center"/>
          </w:tcPr>
          <w:p w14:paraId="73ACD8E4">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提供</w:t>
            </w:r>
            <w:r>
              <w:rPr>
                <w:rFonts w:hint="eastAsia" w:ascii="宋体" w:hAnsi="宋体" w:eastAsia="宋体" w:cs="宋体"/>
                <w:kern w:val="0"/>
                <w:sz w:val="21"/>
                <w:szCs w:val="21"/>
                <w:lang w:val="en-US" w:eastAsia="zh-CN"/>
              </w:rPr>
              <w:t>配套专用试剂耗材</w:t>
            </w:r>
            <w:r>
              <w:rPr>
                <w:rFonts w:hint="eastAsia" w:ascii="宋体" w:hAnsi="宋体" w:eastAsia="宋体" w:cs="宋体"/>
                <w:kern w:val="0"/>
                <w:sz w:val="21"/>
                <w:szCs w:val="21"/>
              </w:rPr>
              <w:t>长期供应价格（含名称、品牌、规格、型号、单价）</w:t>
            </w:r>
          </w:p>
        </w:tc>
        <w:tc>
          <w:tcPr>
            <w:tcW w:w="984" w:type="dxa"/>
            <w:tcBorders>
              <w:tl2br w:val="nil"/>
              <w:tr2bl w:val="nil"/>
            </w:tcBorders>
            <w:noWrap w:val="0"/>
            <w:vAlign w:val="center"/>
          </w:tcPr>
          <w:p w14:paraId="741A66ED">
            <w:pPr>
              <w:widowControl/>
              <w:adjustRightInd w:val="0"/>
              <w:snapToGrid w:val="0"/>
              <w:spacing w:line="240" w:lineRule="atLeast"/>
              <w:jc w:val="center"/>
              <w:rPr>
                <w:rFonts w:hint="eastAsia" w:ascii="宋体" w:hAnsi="宋体" w:eastAsia="宋体" w:cs="宋体"/>
                <w:kern w:val="0"/>
                <w:sz w:val="21"/>
                <w:szCs w:val="21"/>
              </w:rPr>
            </w:pPr>
          </w:p>
        </w:tc>
      </w:tr>
      <w:tr w14:paraId="0763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1147A0F4">
            <w:pPr>
              <w:widowControl/>
              <w:adjustRightInd w:val="0"/>
              <w:snapToGrid w:val="0"/>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auto"/>
                <w:kern w:val="0"/>
                <w:sz w:val="21"/>
                <w:szCs w:val="21"/>
                <w:lang w:val="en-US" w:eastAsia="zh-CN"/>
              </w:rPr>
              <w:t>7</w:t>
            </w:r>
          </w:p>
        </w:tc>
        <w:tc>
          <w:tcPr>
            <w:tcW w:w="6971" w:type="dxa"/>
            <w:tcBorders>
              <w:tl2br w:val="nil"/>
              <w:tr2bl w:val="nil"/>
            </w:tcBorders>
            <w:noWrap w:val="0"/>
            <w:vAlign w:val="center"/>
          </w:tcPr>
          <w:p w14:paraId="2D1A1465">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提供详细配置清单及分项报价(含名称、品牌、规格型号、数量、单价)</w:t>
            </w:r>
          </w:p>
        </w:tc>
        <w:tc>
          <w:tcPr>
            <w:tcW w:w="984" w:type="dxa"/>
            <w:tcBorders>
              <w:tl2br w:val="nil"/>
              <w:tr2bl w:val="nil"/>
            </w:tcBorders>
            <w:noWrap w:val="0"/>
            <w:vAlign w:val="center"/>
          </w:tcPr>
          <w:p w14:paraId="2E6A2A1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13B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40" w:type="dxa"/>
            <w:tcBorders>
              <w:tl2br w:val="nil"/>
              <w:tr2bl w:val="nil"/>
            </w:tcBorders>
            <w:noWrap w:val="0"/>
            <w:vAlign w:val="center"/>
          </w:tcPr>
          <w:p w14:paraId="654C5D31">
            <w:pPr>
              <w:widowControl/>
              <w:adjustRightInd w:val="0"/>
              <w:snapToGrid w:val="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8</w:t>
            </w:r>
          </w:p>
        </w:tc>
        <w:tc>
          <w:tcPr>
            <w:tcW w:w="6971" w:type="dxa"/>
            <w:tcBorders>
              <w:tl2br w:val="nil"/>
              <w:tr2bl w:val="nil"/>
            </w:tcBorders>
            <w:noWrap w:val="0"/>
            <w:vAlign w:val="center"/>
          </w:tcPr>
          <w:p w14:paraId="235CE8D0">
            <w:pPr>
              <w:widowControl/>
              <w:adjustRightInd w:val="0"/>
              <w:snapToGrid w:val="0"/>
              <w:jc w:val="left"/>
              <w:rPr>
                <w:rFonts w:hint="eastAsia" w:ascii="宋体" w:hAnsi="宋体" w:eastAsia="宋体" w:cs="宋体"/>
                <w:bCs/>
                <w:kern w:val="0"/>
                <w:sz w:val="21"/>
                <w:szCs w:val="21"/>
              </w:rPr>
            </w:pPr>
            <w:r>
              <w:rPr>
                <w:rFonts w:hint="eastAsia" w:ascii="宋体" w:hAnsi="宋体" w:eastAsia="宋体" w:cs="宋体"/>
                <w:bCs/>
                <w:kern w:val="0"/>
                <w:sz w:val="21"/>
                <w:szCs w:val="21"/>
              </w:rPr>
              <w:t>提供</w:t>
            </w:r>
            <w:r>
              <w:rPr>
                <w:rFonts w:hint="eastAsia" w:ascii="宋体" w:hAnsi="宋体" w:eastAsia="宋体" w:cs="宋体"/>
                <w:kern w:val="0"/>
                <w:sz w:val="21"/>
                <w:szCs w:val="21"/>
              </w:rPr>
              <w:t>设备附件及各类配件详细报价（</w:t>
            </w:r>
            <w:r>
              <w:rPr>
                <w:rFonts w:hint="eastAsia" w:ascii="宋体" w:hAnsi="宋体" w:eastAsia="宋体" w:cs="宋体"/>
                <w:bCs/>
                <w:kern w:val="0"/>
                <w:sz w:val="21"/>
                <w:szCs w:val="21"/>
              </w:rPr>
              <w:t>含名称、</w:t>
            </w:r>
            <w:r>
              <w:rPr>
                <w:rFonts w:hint="eastAsia" w:ascii="宋体" w:hAnsi="宋体" w:eastAsia="宋体" w:cs="宋体"/>
                <w:kern w:val="0"/>
                <w:sz w:val="21"/>
                <w:szCs w:val="21"/>
              </w:rPr>
              <w:t>品牌、规格型号、</w:t>
            </w:r>
            <w:r>
              <w:rPr>
                <w:rFonts w:hint="eastAsia" w:ascii="宋体" w:hAnsi="宋体" w:eastAsia="宋体" w:cs="宋体"/>
                <w:bCs/>
                <w:kern w:val="0"/>
                <w:sz w:val="21"/>
                <w:szCs w:val="21"/>
              </w:rPr>
              <w:t>数量、单价)</w:t>
            </w:r>
          </w:p>
        </w:tc>
        <w:tc>
          <w:tcPr>
            <w:tcW w:w="984" w:type="dxa"/>
            <w:tcBorders>
              <w:tl2br w:val="nil"/>
              <w:tr2bl w:val="nil"/>
            </w:tcBorders>
            <w:noWrap w:val="0"/>
            <w:vAlign w:val="center"/>
          </w:tcPr>
          <w:p w14:paraId="0C81223E">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B05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5AF17152">
            <w:pPr>
              <w:widowControl/>
              <w:adjustRightInd w:val="0"/>
              <w:snapToGrid w:val="0"/>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9</w:t>
            </w:r>
          </w:p>
        </w:tc>
        <w:tc>
          <w:tcPr>
            <w:tcW w:w="6971" w:type="dxa"/>
            <w:tcBorders>
              <w:tl2br w:val="nil"/>
              <w:tr2bl w:val="nil"/>
            </w:tcBorders>
            <w:noWrap w:val="0"/>
            <w:vAlign w:val="top"/>
          </w:tcPr>
          <w:p w14:paraId="025616D1">
            <w:pPr>
              <w:pStyle w:val="9"/>
              <w:widowControl/>
              <w:adjustRightInd w:val="0"/>
              <w:snapToGrid w:val="0"/>
              <w:spacing w:line="240" w:lineRule="atLeast"/>
              <w:rPr>
                <w:rFonts w:hint="eastAsia" w:ascii="宋体" w:hAnsi="宋体" w:eastAsia="宋体" w:cs="宋体"/>
                <w:bCs/>
                <w:kern w:val="0"/>
                <w:sz w:val="21"/>
                <w:szCs w:val="21"/>
              </w:rPr>
            </w:pPr>
            <w:r>
              <w:rPr>
                <w:rFonts w:hint="eastAsia" w:ascii="宋体" w:hAnsi="宋体" w:eastAsia="宋体" w:cs="宋体"/>
                <w:bCs/>
                <w:kern w:val="0"/>
                <w:sz w:val="21"/>
                <w:szCs w:val="21"/>
              </w:rPr>
              <w:t>提供</w:t>
            </w:r>
            <w:r>
              <w:rPr>
                <w:rFonts w:hint="eastAsia" w:ascii="宋体" w:hAnsi="宋体" w:eastAsia="宋体" w:cs="宋体"/>
                <w:kern w:val="0"/>
                <w:sz w:val="21"/>
                <w:szCs w:val="21"/>
              </w:rPr>
              <w:t>质保期外原装常用</w:t>
            </w:r>
            <w:r>
              <w:rPr>
                <w:rFonts w:hint="eastAsia" w:ascii="宋体" w:hAnsi="宋体" w:eastAsia="宋体" w:cs="宋体"/>
                <w:bCs/>
                <w:kern w:val="0"/>
                <w:sz w:val="21"/>
                <w:szCs w:val="21"/>
              </w:rPr>
              <w:t>损耗性配件及维修零配件优惠供应价格（含名称、品牌、规格型号、单价）</w:t>
            </w:r>
          </w:p>
        </w:tc>
        <w:tc>
          <w:tcPr>
            <w:tcW w:w="984" w:type="dxa"/>
            <w:tcBorders>
              <w:tl2br w:val="nil"/>
              <w:tr2bl w:val="nil"/>
            </w:tcBorders>
            <w:noWrap w:val="0"/>
            <w:vAlign w:val="center"/>
          </w:tcPr>
          <w:p w14:paraId="4D1961FE">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6CA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431885CD">
            <w:pPr>
              <w:widowControl/>
              <w:adjustRightInd w:val="0"/>
              <w:snapToGrid w:val="0"/>
              <w:spacing w:line="24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三</w:t>
            </w:r>
          </w:p>
        </w:tc>
        <w:tc>
          <w:tcPr>
            <w:tcW w:w="6971" w:type="dxa"/>
            <w:tcBorders>
              <w:tl2br w:val="nil"/>
              <w:tr2bl w:val="nil"/>
            </w:tcBorders>
            <w:noWrap w:val="0"/>
            <w:vAlign w:val="center"/>
          </w:tcPr>
          <w:p w14:paraId="27F36926">
            <w:pPr>
              <w:widowControl/>
              <w:adjustRightInd w:val="0"/>
              <w:snapToGrid w:val="0"/>
              <w:spacing w:line="240" w:lineRule="atLeast"/>
              <w:jc w:val="left"/>
              <w:rPr>
                <w:rFonts w:hint="eastAsia" w:ascii="宋体" w:hAnsi="宋体" w:eastAsia="宋体" w:cs="宋体"/>
                <w:b/>
                <w:kern w:val="0"/>
                <w:sz w:val="21"/>
                <w:szCs w:val="21"/>
              </w:rPr>
            </w:pPr>
            <w:r>
              <w:rPr>
                <w:rFonts w:hint="eastAsia" w:ascii="宋体" w:hAnsi="宋体" w:eastAsia="宋体" w:cs="宋体"/>
                <w:b/>
                <w:kern w:val="0"/>
                <w:sz w:val="21"/>
                <w:szCs w:val="21"/>
              </w:rPr>
              <w:t>售后服务</w:t>
            </w:r>
          </w:p>
        </w:tc>
        <w:tc>
          <w:tcPr>
            <w:tcW w:w="984" w:type="dxa"/>
            <w:tcBorders>
              <w:tl2br w:val="nil"/>
              <w:tr2bl w:val="nil"/>
            </w:tcBorders>
            <w:noWrap w:val="0"/>
            <w:vAlign w:val="center"/>
          </w:tcPr>
          <w:p w14:paraId="53CE053D">
            <w:pPr>
              <w:widowControl/>
              <w:adjustRightInd w:val="0"/>
              <w:snapToGrid w:val="0"/>
              <w:spacing w:line="240" w:lineRule="atLeast"/>
              <w:jc w:val="center"/>
              <w:rPr>
                <w:rFonts w:hint="eastAsia" w:ascii="宋体" w:hAnsi="宋体" w:eastAsia="宋体" w:cs="宋体"/>
                <w:kern w:val="0"/>
                <w:sz w:val="21"/>
                <w:szCs w:val="21"/>
              </w:rPr>
            </w:pPr>
          </w:p>
        </w:tc>
      </w:tr>
      <w:tr w14:paraId="5DCB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593AA4AE">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p>
        </w:tc>
        <w:tc>
          <w:tcPr>
            <w:tcW w:w="6971" w:type="dxa"/>
            <w:tcBorders>
              <w:tl2br w:val="nil"/>
              <w:tr2bl w:val="nil"/>
            </w:tcBorders>
            <w:noWrap w:val="0"/>
            <w:vAlign w:val="center"/>
          </w:tcPr>
          <w:p w14:paraId="2A36D543">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整机质保期≥3年，在质保期内每年由维修工程师提供至少</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次的上门维护保养工作</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并根据医院要求提供相应记录</w:t>
            </w:r>
          </w:p>
        </w:tc>
        <w:tc>
          <w:tcPr>
            <w:tcW w:w="984" w:type="dxa"/>
            <w:tcBorders>
              <w:tl2br w:val="nil"/>
              <w:tr2bl w:val="nil"/>
            </w:tcBorders>
            <w:noWrap w:val="0"/>
            <w:vAlign w:val="center"/>
          </w:tcPr>
          <w:p w14:paraId="7A476A2F">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2E45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31E16DE4">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w:t>
            </w:r>
          </w:p>
        </w:tc>
        <w:tc>
          <w:tcPr>
            <w:tcW w:w="6971" w:type="dxa"/>
            <w:tcBorders>
              <w:tl2br w:val="nil"/>
              <w:tr2bl w:val="nil"/>
            </w:tcBorders>
            <w:noWrap w:val="0"/>
            <w:vAlign w:val="center"/>
          </w:tcPr>
          <w:p w14:paraId="695D2516">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中标后，提供厂家保修承诺</w:t>
            </w:r>
          </w:p>
        </w:tc>
        <w:tc>
          <w:tcPr>
            <w:tcW w:w="984" w:type="dxa"/>
            <w:tcBorders>
              <w:tl2br w:val="nil"/>
              <w:tr2bl w:val="nil"/>
            </w:tcBorders>
            <w:noWrap w:val="0"/>
            <w:vAlign w:val="center"/>
          </w:tcPr>
          <w:p w14:paraId="695C8DE7">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6C32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040" w:type="dxa"/>
            <w:tcBorders>
              <w:tl2br w:val="nil"/>
              <w:tr2bl w:val="nil"/>
            </w:tcBorders>
            <w:noWrap w:val="0"/>
            <w:vAlign w:val="center"/>
          </w:tcPr>
          <w:p w14:paraId="19668922">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w:t>
            </w:r>
          </w:p>
        </w:tc>
        <w:tc>
          <w:tcPr>
            <w:tcW w:w="6971" w:type="dxa"/>
            <w:tcBorders>
              <w:tl2br w:val="nil"/>
              <w:tr2bl w:val="nil"/>
            </w:tcBorders>
            <w:noWrap w:val="0"/>
            <w:vAlign w:val="center"/>
          </w:tcPr>
          <w:p w14:paraId="51FAA4EA">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中标方应对设备操作及维修人员进行操作及维修培训，直至技术人员熟练掌握使用及维修技能为止，提供详细培训记录,提供设备设计使用寿命</w:t>
            </w:r>
          </w:p>
        </w:tc>
        <w:tc>
          <w:tcPr>
            <w:tcW w:w="984" w:type="dxa"/>
            <w:tcBorders>
              <w:tl2br w:val="nil"/>
              <w:tr2bl w:val="nil"/>
            </w:tcBorders>
            <w:noWrap w:val="0"/>
            <w:vAlign w:val="center"/>
          </w:tcPr>
          <w:p w14:paraId="76309972">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4A87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040" w:type="dxa"/>
            <w:tcBorders>
              <w:tl2br w:val="nil"/>
              <w:tr2bl w:val="nil"/>
            </w:tcBorders>
            <w:noWrap w:val="0"/>
            <w:vAlign w:val="center"/>
          </w:tcPr>
          <w:p w14:paraId="55D50262">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4</w:t>
            </w:r>
          </w:p>
        </w:tc>
        <w:tc>
          <w:tcPr>
            <w:tcW w:w="6971" w:type="dxa"/>
            <w:tcBorders>
              <w:tl2br w:val="nil"/>
              <w:tr2bl w:val="nil"/>
            </w:tcBorders>
            <w:noWrap w:val="0"/>
            <w:vAlign w:val="center"/>
          </w:tcPr>
          <w:p w14:paraId="527A6520">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维修保障：中标方应提供中文说明书、操作手册、详细维修手册、整机线路图、系统安装软件及维修密码，软件终身免费升级</w:t>
            </w:r>
          </w:p>
        </w:tc>
        <w:tc>
          <w:tcPr>
            <w:tcW w:w="984" w:type="dxa"/>
            <w:tcBorders>
              <w:tl2br w:val="nil"/>
              <w:tr2bl w:val="nil"/>
            </w:tcBorders>
            <w:noWrap w:val="0"/>
            <w:vAlign w:val="center"/>
          </w:tcPr>
          <w:p w14:paraId="367BADC7">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07EE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040" w:type="dxa"/>
            <w:tcBorders>
              <w:tl2br w:val="nil"/>
              <w:tr2bl w:val="nil"/>
            </w:tcBorders>
            <w:noWrap w:val="0"/>
            <w:vAlign w:val="center"/>
          </w:tcPr>
          <w:p w14:paraId="5B9FEC09">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5</w:t>
            </w:r>
          </w:p>
        </w:tc>
        <w:tc>
          <w:tcPr>
            <w:tcW w:w="6971" w:type="dxa"/>
            <w:tcBorders>
              <w:tl2br w:val="nil"/>
              <w:tr2bl w:val="nil"/>
            </w:tcBorders>
            <w:noWrap w:val="0"/>
            <w:vAlign w:val="center"/>
          </w:tcPr>
          <w:p w14:paraId="6B8C86E1">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一个月内非人为质量问题提供换货。设备出现故障时2个小时内响应，6小时内提供维修方案及报价，24小时内到达现场，郑州有常驻工程师，提供工程师姓名及联系方式</w:t>
            </w:r>
          </w:p>
        </w:tc>
        <w:tc>
          <w:tcPr>
            <w:tcW w:w="984" w:type="dxa"/>
            <w:tcBorders>
              <w:tl2br w:val="nil"/>
              <w:tr2bl w:val="nil"/>
            </w:tcBorders>
            <w:noWrap w:val="0"/>
            <w:vAlign w:val="center"/>
          </w:tcPr>
          <w:p w14:paraId="127B4098">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6CAC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3F88DD3A">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6</w:t>
            </w:r>
          </w:p>
        </w:tc>
        <w:tc>
          <w:tcPr>
            <w:tcW w:w="6971" w:type="dxa"/>
            <w:tcBorders>
              <w:tl2br w:val="nil"/>
              <w:tr2bl w:val="nil"/>
            </w:tcBorders>
            <w:noWrap w:val="0"/>
            <w:vAlign w:val="center"/>
          </w:tcPr>
          <w:p w14:paraId="1CC62661">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到货时间：合同签订后30</w:t>
            </w:r>
            <w:r>
              <w:rPr>
                <w:rFonts w:hint="eastAsia" w:ascii="宋体" w:hAnsi="宋体" w:eastAsia="宋体" w:cs="宋体"/>
                <w:color w:val="auto"/>
                <w:kern w:val="0"/>
                <w:sz w:val="21"/>
                <w:szCs w:val="21"/>
                <w:lang w:val="en-US" w:eastAsia="zh-CN"/>
              </w:rPr>
              <w:t>日历天内</w:t>
            </w:r>
          </w:p>
        </w:tc>
        <w:tc>
          <w:tcPr>
            <w:tcW w:w="984" w:type="dxa"/>
            <w:tcBorders>
              <w:tl2br w:val="nil"/>
              <w:tr2bl w:val="nil"/>
            </w:tcBorders>
            <w:noWrap w:val="0"/>
            <w:vAlign w:val="center"/>
          </w:tcPr>
          <w:p w14:paraId="1462A8C9">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bl>
    <w:p w14:paraId="65D118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Noto Sans CJK JP Regular">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F580B"/>
    <w:rsid w:val="5DEF5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480" w:lineRule="exact"/>
    </w:pPr>
    <w:rPr>
      <w:kern w:val="0"/>
      <w:sz w:val="24"/>
    </w:rPr>
  </w:style>
  <w:style w:type="paragraph" w:styleId="3">
    <w:name w:val="Body Text Indent"/>
    <w:basedOn w:val="1"/>
    <w:qFormat/>
    <w:uiPriority w:val="0"/>
    <w:pPr>
      <w:tabs>
        <w:tab w:val="left" w:pos="945"/>
        <w:tab w:val="left" w:pos="1155"/>
      </w:tabs>
      <w:ind w:firstLine="435"/>
    </w:pPr>
    <w:rPr>
      <w:kern w:val="0"/>
      <w:sz w:val="24"/>
    </w:rPr>
  </w:style>
  <w:style w:type="paragraph" w:styleId="4">
    <w:name w:val="Body Text First Indent"/>
    <w:basedOn w:val="2"/>
    <w:next w:val="5"/>
    <w:unhideWhenUsed/>
    <w:qFormat/>
    <w:uiPriority w:val="99"/>
    <w:pPr>
      <w:spacing w:after="120" w:line="240" w:lineRule="auto"/>
      <w:ind w:firstLine="420" w:firstLineChars="100"/>
    </w:pPr>
    <w:rPr>
      <w:kern w:val="2"/>
      <w:sz w:val="21"/>
    </w:rPr>
  </w:style>
  <w:style w:type="paragraph" w:styleId="5">
    <w:name w:val="Body Text First Indent 2"/>
    <w:basedOn w:val="3"/>
    <w:next w:val="6"/>
    <w:qFormat/>
    <w:uiPriority w:val="0"/>
    <w:pPr>
      <w:ind w:firstLine="420" w:firstLineChars="200"/>
    </w:pPr>
    <w:rPr>
      <w:rFonts w:ascii="宋体" w:eastAsia="楷体_GB2312"/>
      <w:b/>
      <w:kern w:val="44"/>
      <w:sz w:val="44"/>
      <w:szCs w:val="20"/>
    </w:rPr>
  </w:style>
  <w:style w:type="paragraph" w:customStyle="1" w:styleId="6">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9">
    <w:name w:val="Table Paragraph"/>
    <w:basedOn w:val="1"/>
    <w:qFormat/>
    <w:uiPriority w:val="1"/>
    <w:pPr>
      <w:autoSpaceDE w:val="0"/>
      <w:autoSpaceDN w:val="0"/>
      <w:jc w:val="left"/>
    </w:pPr>
    <w:rPr>
      <w:rFonts w:ascii="Noto Sans CJK JP Regular" w:hAnsi="Noto Sans CJK JP Regular" w:eastAsia="Noto Sans CJK JP Regular"/>
      <w:kern w:val="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2025-09-16T15:51:00Z</dcterms:created>
  <dc:creator>李子怡</dc:creator>
  <cp:lastModifiedBy>李子怡</cp:lastModifiedBy>
  <dcterms:modified xsi:type="dcterms:W3CDTF">2025-09-16T15:53:06Z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A77FE6F73F224B6DA1A693A3F0CD80DB_11</vt:lpwstr>
  </property>
  <property fmtid="{D5CDD505-2E9C-101B-9397-08002B2CF9AE}" pid="4" name="KSOTemplateDocerSaveRecord">
    <vt:lpwstr>eyJoZGlkIjoiOGUwODU1ZmJkMmZlNWI2NDZjZDJhZTUyNTI2MjEzYjAiLCJ1c2VySWQiOiIyNzc5ODY3NTAifQ==</vt:lpwstr>
  </property>
</Properties>
</file>