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86D9">
      <w:pPr>
        <w:rPr>
          <w:rFonts w:hint="eastAsia"/>
          <w:b/>
          <w:bCs/>
          <w:sz w:val="28"/>
          <w:szCs w:val="28"/>
          <w:lang w:val="en-US" w:eastAsia="zh-CN"/>
        </w:rPr>
      </w:pPr>
      <w:bookmarkStart w:id="0" w:name="_GoBack"/>
      <w:r>
        <w:rPr>
          <w:rFonts w:hint="eastAsia"/>
          <w:b/>
          <w:bCs/>
          <w:sz w:val="28"/>
          <w:szCs w:val="28"/>
          <w:lang w:val="en-US" w:eastAsia="zh-CN"/>
        </w:rPr>
        <w:t>包4 技术参数</w:t>
      </w:r>
    </w:p>
    <w:bookmarkEnd w:id="0"/>
    <w:tbl>
      <w:tblPr>
        <w:tblStyle w:val="6"/>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977"/>
        <w:gridCol w:w="1110"/>
      </w:tblGrid>
      <w:tr w14:paraId="285D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gridSpan w:val="3"/>
            <w:tcBorders>
              <w:top w:val="nil"/>
              <w:left w:val="nil"/>
              <w:right w:val="nil"/>
            </w:tcBorders>
            <w:noWrap w:val="0"/>
            <w:vAlign w:val="center"/>
          </w:tcPr>
          <w:p w14:paraId="79D4E635">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医用头灯放大镜</w:t>
            </w:r>
          </w:p>
        </w:tc>
      </w:tr>
      <w:tr w14:paraId="7F8F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2DCEA80">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w:t>
            </w:r>
          </w:p>
        </w:tc>
        <w:tc>
          <w:tcPr>
            <w:tcW w:w="6977" w:type="dxa"/>
            <w:tcBorders>
              <w:tl2br w:val="nil"/>
              <w:tr2bl w:val="nil"/>
            </w:tcBorders>
            <w:noWrap w:val="0"/>
            <w:vAlign w:val="center"/>
          </w:tcPr>
          <w:p w14:paraId="2000F6D0">
            <w:pPr>
              <w:widowControl/>
              <w:adjustRightInd w:val="0"/>
              <w:snapToGrid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总体要求</w:t>
            </w:r>
          </w:p>
        </w:tc>
        <w:tc>
          <w:tcPr>
            <w:tcW w:w="1110" w:type="dxa"/>
            <w:tcBorders>
              <w:tl2br w:val="nil"/>
              <w:tr2bl w:val="nil"/>
            </w:tcBorders>
            <w:noWrap w:val="0"/>
            <w:vAlign w:val="center"/>
          </w:tcPr>
          <w:p w14:paraId="13F6AD8B">
            <w:pPr>
              <w:widowControl/>
              <w:adjustRightInd w:val="0"/>
              <w:snapToGrid w:val="0"/>
              <w:spacing w:line="360" w:lineRule="auto"/>
              <w:jc w:val="center"/>
              <w:rPr>
                <w:rFonts w:hint="eastAsia" w:ascii="宋体" w:hAnsi="宋体" w:eastAsia="宋体" w:cs="宋体"/>
                <w:b/>
                <w:bCs/>
                <w:color w:val="auto"/>
                <w:kern w:val="0"/>
                <w:sz w:val="21"/>
                <w:szCs w:val="21"/>
              </w:rPr>
            </w:pPr>
          </w:p>
        </w:tc>
      </w:tr>
      <w:tr w14:paraId="2DA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E97EBB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24ACFBE0">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满足医院要求，凡涉及设备安装及施工由中标方负责，按照医院要求提供交钥匙工程</w:t>
            </w:r>
          </w:p>
        </w:tc>
        <w:tc>
          <w:tcPr>
            <w:tcW w:w="1110" w:type="dxa"/>
            <w:tcBorders>
              <w:tl2br w:val="nil"/>
              <w:tr2bl w:val="nil"/>
            </w:tcBorders>
            <w:noWrap w:val="0"/>
            <w:vAlign w:val="center"/>
          </w:tcPr>
          <w:p w14:paraId="6DBA3CB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16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F85F72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67E5A80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投标时要求提供投标产品注册所用检验报告、技术参数表（datasheet）及产品彩页、说明书</w:t>
            </w:r>
          </w:p>
        </w:tc>
        <w:tc>
          <w:tcPr>
            <w:tcW w:w="1110" w:type="dxa"/>
            <w:tcBorders>
              <w:tl2br w:val="nil"/>
              <w:tr2bl w:val="nil"/>
            </w:tcBorders>
            <w:noWrap w:val="0"/>
            <w:vAlign w:val="center"/>
          </w:tcPr>
          <w:p w14:paraId="572A774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326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B87155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173B9323">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提供所投产品医疗器械注册证</w:t>
            </w:r>
          </w:p>
        </w:tc>
        <w:tc>
          <w:tcPr>
            <w:tcW w:w="1110" w:type="dxa"/>
            <w:tcBorders>
              <w:tl2br w:val="nil"/>
              <w:tr2bl w:val="nil"/>
            </w:tcBorders>
            <w:noWrap w:val="0"/>
            <w:vAlign w:val="center"/>
          </w:tcPr>
          <w:p w14:paraId="5B6B691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5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A5A1DB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71B67FDC">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仪器配备所有软件使用最新版本且终身免费升级，端口免费开放，能与我院各信息系统无缝对接</w:t>
            </w:r>
          </w:p>
        </w:tc>
        <w:tc>
          <w:tcPr>
            <w:tcW w:w="1110" w:type="dxa"/>
            <w:tcBorders>
              <w:tl2br w:val="nil"/>
              <w:tr2bl w:val="nil"/>
            </w:tcBorders>
            <w:noWrap w:val="0"/>
            <w:vAlign w:val="center"/>
          </w:tcPr>
          <w:p w14:paraId="5E396B3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3FE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FE1C8B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335B6A8B">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所有项目必须满足现今主流设备的需求，并能根据实际情况以及用户的要求进行及时做出硬件上的调整并负责做好相应设备的安装</w:t>
            </w:r>
          </w:p>
        </w:tc>
        <w:tc>
          <w:tcPr>
            <w:tcW w:w="1110" w:type="dxa"/>
            <w:tcBorders>
              <w:tl2br w:val="nil"/>
              <w:tr2bl w:val="nil"/>
            </w:tcBorders>
            <w:noWrap w:val="0"/>
            <w:vAlign w:val="center"/>
          </w:tcPr>
          <w:p w14:paraId="55F6227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E1B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DF76C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3BB1E50B">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满足安装场地要求</w:t>
            </w:r>
          </w:p>
        </w:tc>
        <w:tc>
          <w:tcPr>
            <w:tcW w:w="1110" w:type="dxa"/>
            <w:tcBorders>
              <w:tl2br w:val="nil"/>
              <w:tr2bl w:val="nil"/>
            </w:tcBorders>
            <w:noWrap w:val="0"/>
            <w:vAlign w:val="center"/>
          </w:tcPr>
          <w:p w14:paraId="4E403AE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E1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4B7F7F1">
            <w:pPr>
              <w:widowControl/>
              <w:adjustRightInd w:val="0"/>
              <w:snapToGrid w:val="0"/>
              <w:spacing w:line="360" w:lineRule="auto"/>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p>
        </w:tc>
        <w:tc>
          <w:tcPr>
            <w:tcW w:w="6977" w:type="dxa"/>
            <w:tcBorders>
              <w:bottom w:val="single" w:color="auto" w:sz="4" w:space="0"/>
              <w:tl2br w:val="nil"/>
              <w:tr2bl w:val="nil"/>
            </w:tcBorders>
            <w:noWrap w:val="0"/>
            <w:vAlign w:val="center"/>
          </w:tcPr>
          <w:p w14:paraId="6957D9AA">
            <w:pPr>
              <w:widowControl/>
              <w:adjustRightInd w:val="0"/>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数量</w:t>
            </w:r>
          </w:p>
        </w:tc>
        <w:tc>
          <w:tcPr>
            <w:tcW w:w="1110" w:type="dxa"/>
            <w:tcBorders>
              <w:tl2br w:val="nil"/>
              <w:tr2bl w:val="nil"/>
            </w:tcBorders>
            <w:noWrap w:val="0"/>
            <w:vAlign w:val="center"/>
          </w:tcPr>
          <w:p w14:paraId="55C152D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4套</w:t>
            </w:r>
          </w:p>
        </w:tc>
      </w:tr>
      <w:tr w14:paraId="3B74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BDADC29">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w:t>
            </w:r>
          </w:p>
        </w:tc>
        <w:tc>
          <w:tcPr>
            <w:tcW w:w="6977" w:type="dxa"/>
            <w:tcBorders>
              <w:tl2br w:val="nil"/>
              <w:tr2bl w:val="nil"/>
            </w:tcBorders>
            <w:noWrap w:val="0"/>
            <w:vAlign w:val="center"/>
          </w:tcPr>
          <w:p w14:paraId="25A0263F">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技术要求</w:t>
            </w:r>
          </w:p>
        </w:tc>
        <w:tc>
          <w:tcPr>
            <w:tcW w:w="1110" w:type="dxa"/>
            <w:tcBorders>
              <w:tl2br w:val="nil"/>
              <w:tr2bl w:val="nil"/>
            </w:tcBorders>
            <w:noWrap w:val="0"/>
            <w:vAlign w:val="center"/>
          </w:tcPr>
          <w:p w14:paraId="09817895">
            <w:pPr>
              <w:widowControl/>
              <w:adjustRightInd w:val="0"/>
              <w:snapToGrid w:val="0"/>
              <w:spacing w:line="360" w:lineRule="auto"/>
              <w:jc w:val="center"/>
              <w:rPr>
                <w:rFonts w:hint="eastAsia" w:ascii="宋体" w:hAnsi="宋体" w:eastAsia="宋体" w:cs="宋体"/>
                <w:color w:val="auto"/>
                <w:kern w:val="0"/>
                <w:sz w:val="21"/>
                <w:szCs w:val="21"/>
              </w:rPr>
            </w:pPr>
          </w:p>
        </w:tc>
      </w:tr>
      <w:tr w14:paraId="35E2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E25957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0FB55B15">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手术</w:t>
            </w:r>
            <w:r>
              <w:rPr>
                <w:rFonts w:hint="eastAsia" w:ascii="宋体" w:hAnsi="宋体" w:eastAsia="宋体" w:cs="宋体"/>
                <w:color w:val="auto"/>
                <w:kern w:val="0"/>
                <w:sz w:val="21"/>
                <w:szCs w:val="21"/>
              </w:rPr>
              <w:t>放大镜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3个</w:t>
            </w:r>
            <w:r>
              <w:rPr>
                <w:rFonts w:hint="eastAsia" w:ascii="宋体" w:hAnsi="宋体" w:eastAsia="宋体" w:cs="宋体"/>
                <w:color w:val="auto"/>
                <w:kern w:val="0"/>
                <w:sz w:val="21"/>
                <w:szCs w:val="21"/>
              </w:rPr>
              <w:t>头戴式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1个镶嵌式定制款</w:t>
            </w:r>
          </w:p>
        </w:tc>
        <w:tc>
          <w:tcPr>
            <w:tcW w:w="1110" w:type="dxa"/>
            <w:tcBorders>
              <w:tl2br w:val="nil"/>
              <w:tr2bl w:val="nil"/>
            </w:tcBorders>
            <w:noWrap w:val="0"/>
            <w:vAlign w:val="center"/>
          </w:tcPr>
          <w:p w14:paraId="58ED3FF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C8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3AB4F3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4B28A95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头戴式放大镜</w:t>
            </w:r>
            <w:r>
              <w:rPr>
                <w:rFonts w:hint="eastAsia" w:ascii="宋体" w:hAnsi="宋体" w:eastAsia="宋体" w:cs="宋体"/>
                <w:color w:val="auto"/>
                <w:kern w:val="0"/>
                <w:sz w:val="21"/>
                <w:szCs w:val="21"/>
              </w:rPr>
              <w:t>双目镜重量≤</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g；</w:t>
            </w:r>
            <w:r>
              <w:rPr>
                <w:rFonts w:hint="eastAsia" w:ascii="宋体" w:hAnsi="宋体" w:eastAsia="宋体" w:cs="宋体"/>
                <w:color w:val="auto"/>
                <w:kern w:val="0"/>
                <w:sz w:val="21"/>
                <w:szCs w:val="21"/>
                <w:lang w:val="en-US" w:eastAsia="zh-CN"/>
              </w:rPr>
              <w:t>定制款放大镜</w:t>
            </w:r>
            <w:r>
              <w:rPr>
                <w:rFonts w:hint="eastAsia" w:ascii="宋体" w:hAnsi="宋体" w:eastAsia="宋体" w:cs="宋体"/>
                <w:color w:val="auto"/>
                <w:kern w:val="0"/>
                <w:sz w:val="21"/>
                <w:szCs w:val="21"/>
              </w:rPr>
              <w:t>双目镜重量≤</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 xml:space="preserve">g </w:t>
            </w:r>
          </w:p>
        </w:tc>
        <w:tc>
          <w:tcPr>
            <w:tcW w:w="1110" w:type="dxa"/>
            <w:tcBorders>
              <w:tl2br w:val="nil"/>
              <w:tr2bl w:val="nil"/>
            </w:tcBorders>
            <w:noWrap w:val="0"/>
            <w:vAlign w:val="center"/>
          </w:tcPr>
          <w:p w14:paraId="6F96438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96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2E0BC4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2B566786">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制式：</w:t>
            </w:r>
            <w:r>
              <w:rPr>
                <w:rFonts w:hint="eastAsia" w:ascii="宋体" w:hAnsi="宋体" w:eastAsia="宋体" w:cs="宋体"/>
                <w:color w:val="auto"/>
                <w:kern w:val="0"/>
                <w:sz w:val="21"/>
                <w:szCs w:val="21"/>
                <w:lang w:val="en-US" w:eastAsia="zh-CN"/>
              </w:rPr>
              <w:t>伽利略放大镜</w:t>
            </w:r>
          </w:p>
        </w:tc>
        <w:tc>
          <w:tcPr>
            <w:tcW w:w="1110" w:type="dxa"/>
            <w:tcBorders>
              <w:tl2br w:val="nil"/>
              <w:tr2bl w:val="nil"/>
            </w:tcBorders>
            <w:noWrap w:val="0"/>
            <w:vAlign w:val="center"/>
          </w:tcPr>
          <w:p w14:paraId="4475AB6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C64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BC2B33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613D711A">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放大倍数：2.5倍</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倍数经过激光校准</w:t>
            </w:r>
          </w:p>
        </w:tc>
        <w:tc>
          <w:tcPr>
            <w:tcW w:w="1110" w:type="dxa"/>
            <w:tcBorders>
              <w:tl2br w:val="nil"/>
              <w:tr2bl w:val="nil"/>
            </w:tcBorders>
            <w:noWrap w:val="0"/>
            <w:vAlign w:val="center"/>
          </w:tcPr>
          <w:p w14:paraId="1AD76CB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A45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16CA4B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2D8BE25F">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景深</w:t>
            </w:r>
            <w:r>
              <w:rPr>
                <w:rFonts w:hint="eastAsia" w:ascii="宋体" w:hAnsi="宋体" w:eastAsia="宋体" w:cs="宋体"/>
                <w:color w:val="auto"/>
                <w:kern w:val="0"/>
                <w:sz w:val="21"/>
                <w:szCs w:val="21"/>
                <w:lang w:val="en-US" w:eastAsia="zh-CN"/>
              </w:rPr>
              <w:t>范围</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20-50</w:t>
            </w:r>
            <w:r>
              <w:rPr>
                <w:rFonts w:hint="eastAsia" w:ascii="宋体" w:hAnsi="宋体" w:eastAsia="宋体" w:cs="宋体"/>
                <w:color w:val="auto"/>
                <w:kern w:val="0"/>
                <w:sz w:val="21"/>
                <w:szCs w:val="21"/>
              </w:rPr>
              <w:t>cm；</w:t>
            </w:r>
          </w:p>
        </w:tc>
        <w:tc>
          <w:tcPr>
            <w:tcW w:w="1110" w:type="dxa"/>
            <w:tcBorders>
              <w:tl2br w:val="nil"/>
              <w:tr2bl w:val="nil"/>
            </w:tcBorders>
            <w:noWrap w:val="0"/>
            <w:vAlign w:val="center"/>
          </w:tcPr>
          <w:p w14:paraId="356A7E5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6D2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539850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3077A08D">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视野范围：</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cm；</w:t>
            </w:r>
          </w:p>
        </w:tc>
        <w:tc>
          <w:tcPr>
            <w:tcW w:w="1110" w:type="dxa"/>
            <w:tcBorders>
              <w:tl2br w:val="nil"/>
              <w:tr2bl w:val="nil"/>
            </w:tcBorders>
            <w:noWrap w:val="0"/>
            <w:vAlign w:val="center"/>
          </w:tcPr>
          <w:p w14:paraId="18B1D9D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B62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489837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6977" w:type="dxa"/>
            <w:tcBorders>
              <w:tl2br w:val="nil"/>
              <w:tr2bl w:val="nil"/>
            </w:tcBorders>
            <w:noWrap w:val="0"/>
            <w:vAlign w:val="center"/>
          </w:tcPr>
          <w:p w14:paraId="3BEAA021">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视野形状：椭圆形</w:t>
            </w:r>
          </w:p>
        </w:tc>
        <w:tc>
          <w:tcPr>
            <w:tcW w:w="1110" w:type="dxa"/>
            <w:tcBorders>
              <w:tl2br w:val="nil"/>
              <w:tr2bl w:val="nil"/>
            </w:tcBorders>
            <w:noWrap w:val="0"/>
            <w:vAlign w:val="center"/>
          </w:tcPr>
          <w:p w14:paraId="30CA8FE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590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312A3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6977" w:type="dxa"/>
            <w:tcBorders>
              <w:tl2br w:val="nil"/>
              <w:tr2bl w:val="nil"/>
            </w:tcBorders>
            <w:noWrap w:val="0"/>
            <w:vAlign w:val="center"/>
          </w:tcPr>
          <w:p w14:paraId="21143E78">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目镜倾角35-55度，平均为45度</w:t>
            </w:r>
          </w:p>
        </w:tc>
        <w:tc>
          <w:tcPr>
            <w:tcW w:w="1110" w:type="dxa"/>
            <w:tcBorders>
              <w:tl2br w:val="nil"/>
              <w:tr2bl w:val="nil"/>
            </w:tcBorders>
            <w:noWrap w:val="0"/>
            <w:vAlign w:val="center"/>
          </w:tcPr>
          <w:p w14:paraId="3D54D07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E71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4D6D8E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6977" w:type="dxa"/>
            <w:tcBorders>
              <w:tl2br w:val="nil"/>
              <w:tr2bl w:val="nil"/>
            </w:tcBorders>
            <w:noWrap w:val="0"/>
            <w:vAlign w:val="center"/>
          </w:tcPr>
          <w:p w14:paraId="7ADBAAFE">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镜片采用光学玻璃磨制，有光学</w:t>
            </w:r>
            <w:r>
              <w:rPr>
                <w:rFonts w:hint="eastAsia" w:ascii="宋体" w:hAnsi="宋体" w:eastAsia="宋体" w:cs="宋体"/>
                <w:color w:val="auto"/>
                <w:kern w:val="0"/>
                <w:sz w:val="21"/>
                <w:szCs w:val="21"/>
                <w:lang w:val="en-US" w:eastAsia="zh-CN"/>
              </w:rPr>
              <w:t>涂层</w:t>
            </w:r>
          </w:p>
        </w:tc>
        <w:tc>
          <w:tcPr>
            <w:tcW w:w="1110" w:type="dxa"/>
            <w:tcBorders>
              <w:tl2br w:val="nil"/>
              <w:tr2bl w:val="nil"/>
            </w:tcBorders>
            <w:noWrap w:val="0"/>
            <w:vAlign w:val="center"/>
          </w:tcPr>
          <w:p w14:paraId="61C0518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A5E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6F51E0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6977" w:type="dxa"/>
            <w:tcBorders>
              <w:tl2br w:val="nil"/>
              <w:tr2bl w:val="nil"/>
            </w:tcBorders>
            <w:noWrap w:val="0"/>
            <w:vAlign w:val="center"/>
          </w:tcPr>
          <w:p w14:paraId="5264B1D6">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保护装置：定制款放大镜可以安装侧护板，减少反光，增强对比度，有激光保护功能。</w:t>
            </w:r>
          </w:p>
        </w:tc>
        <w:tc>
          <w:tcPr>
            <w:tcW w:w="1110" w:type="dxa"/>
            <w:tcBorders>
              <w:tl2br w:val="nil"/>
              <w:tr2bl w:val="nil"/>
            </w:tcBorders>
            <w:noWrap w:val="0"/>
            <w:vAlign w:val="center"/>
          </w:tcPr>
          <w:p w14:paraId="4DD06F2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2D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503ABEB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6977" w:type="dxa"/>
            <w:tcBorders>
              <w:tl2br w:val="nil"/>
              <w:tr2bl w:val="nil"/>
            </w:tcBorders>
            <w:noWrap w:val="0"/>
            <w:vAlign w:val="center"/>
          </w:tcPr>
          <w:p w14:paraId="53215A2F">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材质：聚醚酰亚胺，聚碳酸酯，钛合金等</w:t>
            </w:r>
          </w:p>
        </w:tc>
        <w:tc>
          <w:tcPr>
            <w:tcW w:w="1110" w:type="dxa"/>
            <w:tcBorders>
              <w:tl2br w:val="nil"/>
              <w:tr2bl w:val="nil"/>
            </w:tcBorders>
            <w:noWrap w:val="0"/>
            <w:vAlign w:val="center"/>
          </w:tcPr>
          <w:p w14:paraId="37A01F4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06D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7CF117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6977" w:type="dxa"/>
            <w:tcBorders>
              <w:tl2br w:val="nil"/>
              <w:tr2bl w:val="nil"/>
            </w:tcBorders>
            <w:noWrap w:val="0"/>
            <w:vAlign w:val="center"/>
          </w:tcPr>
          <w:p w14:paraId="5D3E0590">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同轴设计：放大镜配有头灯同轴转接口，可连接头灯，使得放大镜、头灯都在同一轴中心，便于同轴调节</w:t>
            </w:r>
          </w:p>
        </w:tc>
        <w:tc>
          <w:tcPr>
            <w:tcW w:w="1110" w:type="dxa"/>
            <w:tcBorders>
              <w:tl2br w:val="nil"/>
              <w:tr2bl w:val="nil"/>
            </w:tcBorders>
            <w:noWrap w:val="0"/>
            <w:vAlign w:val="center"/>
          </w:tcPr>
          <w:p w14:paraId="49B1AB5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806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top"/>
          </w:tcPr>
          <w:p w14:paraId="57B9BDF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6977" w:type="dxa"/>
            <w:tcBorders>
              <w:tl2br w:val="nil"/>
              <w:tr2bl w:val="nil"/>
            </w:tcBorders>
            <w:noWrap w:val="0"/>
            <w:vAlign w:val="center"/>
          </w:tcPr>
          <w:p w14:paraId="56328424">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使用年限</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rPr>
              <w:t>提供铭牌或说明书证明</w:t>
            </w:r>
          </w:p>
        </w:tc>
        <w:tc>
          <w:tcPr>
            <w:tcW w:w="1110" w:type="dxa"/>
            <w:tcBorders>
              <w:tl2br w:val="nil"/>
              <w:tr2bl w:val="nil"/>
            </w:tcBorders>
            <w:noWrap w:val="0"/>
            <w:vAlign w:val="center"/>
          </w:tcPr>
          <w:p w14:paraId="2D2810E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38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737620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6977" w:type="dxa"/>
            <w:tcBorders>
              <w:tl2br w:val="nil"/>
              <w:tr2bl w:val="nil"/>
            </w:tcBorders>
            <w:noWrap w:val="0"/>
            <w:vAlign w:val="center"/>
          </w:tcPr>
          <w:p w14:paraId="1153DBC1">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提供详细配置清单及分项报价(含名称、品牌、规格型号、数量、单价)</w:t>
            </w:r>
          </w:p>
        </w:tc>
        <w:tc>
          <w:tcPr>
            <w:tcW w:w="1110" w:type="dxa"/>
            <w:tcBorders>
              <w:tl2br w:val="nil"/>
              <w:tr2bl w:val="nil"/>
            </w:tcBorders>
            <w:noWrap w:val="0"/>
            <w:vAlign w:val="center"/>
          </w:tcPr>
          <w:p w14:paraId="0F9E63D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618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C07B08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6977" w:type="dxa"/>
            <w:tcBorders>
              <w:tl2br w:val="nil"/>
              <w:tr2bl w:val="nil"/>
            </w:tcBorders>
            <w:noWrap w:val="0"/>
            <w:vAlign w:val="center"/>
          </w:tcPr>
          <w:p w14:paraId="4CBC5488">
            <w:pPr>
              <w:widowControl/>
              <w:adjustRightInd w:val="0"/>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设备附件及各类配件详细报价（</w:t>
            </w:r>
            <w:r>
              <w:rPr>
                <w:rFonts w:hint="eastAsia" w:ascii="宋体" w:hAnsi="宋体" w:eastAsia="宋体" w:cs="宋体"/>
                <w:bCs/>
                <w:color w:val="auto"/>
                <w:kern w:val="0"/>
                <w:sz w:val="21"/>
                <w:szCs w:val="21"/>
              </w:rPr>
              <w:t>含名称、</w:t>
            </w:r>
            <w:r>
              <w:rPr>
                <w:rFonts w:hint="eastAsia" w:ascii="宋体" w:hAnsi="宋体" w:eastAsia="宋体" w:cs="宋体"/>
                <w:color w:val="auto"/>
                <w:kern w:val="0"/>
                <w:sz w:val="21"/>
                <w:szCs w:val="21"/>
              </w:rPr>
              <w:t>品牌、规格型号、</w:t>
            </w:r>
            <w:r>
              <w:rPr>
                <w:rFonts w:hint="eastAsia" w:ascii="宋体" w:hAnsi="宋体" w:eastAsia="宋体" w:cs="宋体"/>
                <w:bCs/>
                <w:color w:val="auto"/>
                <w:kern w:val="0"/>
                <w:sz w:val="21"/>
                <w:szCs w:val="21"/>
              </w:rPr>
              <w:t>数量、单价)</w:t>
            </w:r>
          </w:p>
        </w:tc>
        <w:tc>
          <w:tcPr>
            <w:tcW w:w="1110" w:type="dxa"/>
            <w:tcBorders>
              <w:tl2br w:val="nil"/>
              <w:tr2bl w:val="nil"/>
            </w:tcBorders>
            <w:noWrap w:val="0"/>
            <w:vAlign w:val="center"/>
          </w:tcPr>
          <w:p w14:paraId="59F1E40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C22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1B6EF0F">
            <w:pPr>
              <w:widowControl/>
              <w:adjustRightInd w:val="0"/>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16</w:t>
            </w:r>
          </w:p>
        </w:tc>
        <w:tc>
          <w:tcPr>
            <w:tcW w:w="6977" w:type="dxa"/>
            <w:tcBorders>
              <w:tl2br w:val="nil"/>
              <w:tr2bl w:val="nil"/>
            </w:tcBorders>
            <w:noWrap w:val="0"/>
            <w:vAlign w:val="top"/>
          </w:tcPr>
          <w:p w14:paraId="22DAF1B2">
            <w:pPr>
              <w:pStyle w:val="10"/>
              <w:widowControl/>
              <w:adjustRightInd w:val="0"/>
              <w:snapToGrid w:val="0"/>
              <w:spacing w:line="360" w:lineRule="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质保期外原装常用</w:t>
            </w:r>
            <w:r>
              <w:rPr>
                <w:rFonts w:hint="eastAsia" w:ascii="宋体" w:hAnsi="宋体" w:eastAsia="宋体" w:cs="宋体"/>
                <w:bCs/>
                <w:color w:val="auto"/>
                <w:kern w:val="0"/>
                <w:sz w:val="21"/>
                <w:szCs w:val="21"/>
              </w:rPr>
              <w:t>损耗性配件及维修零配件优惠供应价格（含名称、品牌、规格型号、单价）</w:t>
            </w:r>
          </w:p>
        </w:tc>
        <w:tc>
          <w:tcPr>
            <w:tcW w:w="1110" w:type="dxa"/>
            <w:tcBorders>
              <w:tl2br w:val="nil"/>
              <w:tr2bl w:val="nil"/>
            </w:tcBorders>
            <w:noWrap w:val="0"/>
            <w:vAlign w:val="center"/>
          </w:tcPr>
          <w:p w14:paraId="64564FD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574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F64CB85">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w:t>
            </w:r>
          </w:p>
        </w:tc>
        <w:tc>
          <w:tcPr>
            <w:tcW w:w="6977" w:type="dxa"/>
            <w:tcBorders>
              <w:tl2br w:val="nil"/>
              <w:tr2bl w:val="nil"/>
            </w:tcBorders>
            <w:noWrap w:val="0"/>
            <w:vAlign w:val="center"/>
          </w:tcPr>
          <w:p w14:paraId="5BEB57AE">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售后服务</w:t>
            </w:r>
          </w:p>
        </w:tc>
        <w:tc>
          <w:tcPr>
            <w:tcW w:w="1110" w:type="dxa"/>
            <w:tcBorders>
              <w:tl2br w:val="nil"/>
              <w:tr2bl w:val="nil"/>
            </w:tcBorders>
            <w:noWrap w:val="0"/>
            <w:vAlign w:val="center"/>
          </w:tcPr>
          <w:p w14:paraId="6D0AAEB0">
            <w:pPr>
              <w:widowControl/>
              <w:adjustRightInd w:val="0"/>
              <w:snapToGrid w:val="0"/>
              <w:spacing w:line="360" w:lineRule="auto"/>
              <w:jc w:val="center"/>
              <w:rPr>
                <w:rFonts w:hint="eastAsia" w:ascii="宋体" w:hAnsi="宋体" w:eastAsia="宋体" w:cs="宋体"/>
                <w:color w:val="auto"/>
                <w:kern w:val="0"/>
                <w:sz w:val="21"/>
                <w:szCs w:val="21"/>
              </w:rPr>
            </w:pPr>
          </w:p>
        </w:tc>
      </w:tr>
      <w:tr w14:paraId="5B24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930E52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3E8C7371">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年，在质保期内每年由维修工程师提供至少4次的上门维护保养工作，并根据医院要求提供相应记录</w:t>
            </w:r>
          </w:p>
        </w:tc>
        <w:tc>
          <w:tcPr>
            <w:tcW w:w="1110" w:type="dxa"/>
            <w:tcBorders>
              <w:tl2br w:val="nil"/>
              <w:tr2bl w:val="nil"/>
            </w:tcBorders>
            <w:noWrap w:val="0"/>
            <w:vAlign w:val="center"/>
          </w:tcPr>
          <w:p w14:paraId="506238E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B41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F10213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32D93FA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中标后，提供厂家保修承诺</w:t>
            </w:r>
          </w:p>
        </w:tc>
        <w:tc>
          <w:tcPr>
            <w:tcW w:w="1110" w:type="dxa"/>
            <w:tcBorders>
              <w:tl2br w:val="nil"/>
              <w:tr2bl w:val="nil"/>
            </w:tcBorders>
            <w:noWrap w:val="0"/>
            <w:vAlign w:val="center"/>
          </w:tcPr>
          <w:p w14:paraId="1ED20B5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178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D92DAE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35D169F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10" w:type="dxa"/>
            <w:tcBorders>
              <w:tl2br w:val="nil"/>
              <w:tr2bl w:val="nil"/>
            </w:tcBorders>
            <w:noWrap w:val="0"/>
            <w:vAlign w:val="center"/>
          </w:tcPr>
          <w:p w14:paraId="16FCD72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D1D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51E51FB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3810D1E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10" w:type="dxa"/>
            <w:tcBorders>
              <w:tl2br w:val="nil"/>
              <w:tr2bl w:val="nil"/>
            </w:tcBorders>
            <w:noWrap w:val="0"/>
            <w:vAlign w:val="center"/>
          </w:tcPr>
          <w:p w14:paraId="12AF628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0C3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7474EE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621833A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10" w:type="dxa"/>
            <w:tcBorders>
              <w:tl2br w:val="nil"/>
              <w:tr2bl w:val="nil"/>
            </w:tcBorders>
            <w:noWrap w:val="0"/>
            <w:vAlign w:val="center"/>
          </w:tcPr>
          <w:p w14:paraId="4A8F094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16D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30716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499552A7">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到货时间：</w:t>
            </w:r>
            <w:r>
              <w:rPr>
                <w:rFonts w:hint="eastAsia" w:ascii="宋体" w:hAnsi="宋体" w:eastAsia="宋体" w:cs="宋体"/>
                <w:color w:val="auto"/>
                <w:kern w:val="0"/>
                <w:sz w:val="21"/>
                <w:szCs w:val="21"/>
                <w:lang w:eastAsia="zh-CN"/>
              </w:rPr>
              <w:t>国产设备</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日历天内</w:t>
            </w:r>
            <w:r>
              <w:rPr>
                <w:rFonts w:hint="eastAsia" w:ascii="宋体" w:hAnsi="宋体" w:eastAsia="宋体" w:cs="宋体"/>
                <w:color w:val="auto"/>
                <w:kern w:val="0"/>
                <w:sz w:val="21"/>
                <w:szCs w:val="21"/>
                <w:lang w:eastAsia="zh-CN"/>
              </w:rPr>
              <w:t>，进口设备合同签订后</w:t>
            </w:r>
            <w:r>
              <w:rPr>
                <w:rFonts w:hint="eastAsia" w:ascii="宋体" w:hAnsi="宋体" w:eastAsia="宋体" w:cs="宋体"/>
                <w:color w:val="auto"/>
                <w:kern w:val="0"/>
                <w:sz w:val="21"/>
                <w:szCs w:val="21"/>
                <w:lang w:val="en-US" w:eastAsia="zh-CN"/>
              </w:rPr>
              <w:t>60</w:t>
            </w:r>
            <w:r>
              <w:rPr>
                <w:rFonts w:hint="eastAsia" w:ascii="宋体" w:hAnsi="宋体" w:eastAsia="宋体" w:cs="宋体"/>
                <w:color w:val="auto"/>
                <w:kern w:val="0"/>
                <w:sz w:val="21"/>
                <w:szCs w:val="21"/>
              </w:rPr>
              <w:t>日历天内</w:t>
            </w:r>
          </w:p>
        </w:tc>
        <w:tc>
          <w:tcPr>
            <w:tcW w:w="1110" w:type="dxa"/>
            <w:tcBorders>
              <w:tl2br w:val="nil"/>
              <w:tr2bl w:val="nil"/>
            </w:tcBorders>
            <w:noWrap w:val="0"/>
            <w:vAlign w:val="center"/>
          </w:tcPr>
          <w:p w14:paraId="7CF7296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bl>
    <w:p w14:paraId="0D180F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72689"/>
    <w:rsid w:val="12A71A21"/>
    <w:rsid w:val="16A4603A"/>
    <w:rsid w:val="2289493C"/>
    <w:rsid w:val="267A2BAD"/>
    <w:rsid w:val="296139BE"/>
    <w:rsid w:val="2D311100"/>
    <w:rsid w:val="2FB5399F"/>
    <w:rsid w:val="30705B08"/>
    <w:rsid w:val="31F653CF"/>
    <w:rsid w:val="33B64F7F"/>
    <w:rsid w:val="34C62472"/>
    <w:rsid w:val="34E1639F"/>
    <w:rsid w:val="35A86113"/>
    <w:rsid w:val="38810BBF"/>
    <w:rsid w:val="38E65C7C"/>
    <w:rsid w:val="3BE32AA0"/>
    <w:rsid w:val="3D8E7C23"/>
    <w:rsid w:val="41B96CDC"/>
    <w:rsid w:val="42A8003A"/>
    <w:rsid w:val="440435F4"/>
    <w:rsid w:val="4B180E1F"/>
    <w:rsid w:val="4B9A5CD8"/>
    <w:rsid w:val="50616371"/>
    <w:rsid w:val="516370FC"/>
    <w:rsid w:val="54B03E76"/>
    <w:rsid w:val="5963748E"/>
    <w:rsid w:val="5A38203D"/>
    <w:rsid w:val="5D335B12"/>
    <w:rsid w:val="6CBB7809"/>
    <w:rsid w:val="6D040097"/>
    <w:rsid w:val="6D487E93"/>
    <w:rsid w:val="6DC73ED1"/>
    <w:rsid w:val="6E6D577B"/>
    <w:rsid w:val="6EF1746B"/>
    <w:rsid w:val="7C40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jc w:val="center"/>
      <w:outlineLvl w:val="0"/>
    </w:pPr>
    <w:rPr>
      <w:rFonts w:ascii="宋体" w:hAnsi="宋体" w:eastAsia="宋体" w:cs="宋体"/>
      <w:b/>
      <w:bCs/>
      <w:snapToGrid w:val="0"/>
      <w:color w:val="000000"/>
      <w:kern w:val="44"/>
      <w:sz w:val="32"/>
      <w:szCs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Arial"/>
      <w:b/>
      <w:snapToGrid w:val="0"/>
      <w:color w:val="000000"/>
      <w:kern w:val="0"/>
      <w:sz w:val="28"/>
      <w:szCs w:val="21"/>
      <w:lang w:eastAsia="en-US"/>
    </w:rPr>
  </w:style>
  <w:style w:type="paragraph" w:styleId="4">
    <w:name w:val="heading 3"/>
    <w:basedOn w:val="1"/>
    <w:next w:val="1"/>
    <w:link w:val="9"/>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5">
    <w:name w:val="heading 4"/>
    <w:basedOn w:val="1"/>
    <w:next w:val="1"/>
    <w:link w:val="8"/>
    <w:semiHidden/>
    <w:unhideWhenUsed/>
    <w:qFormat/>
    <w:uiPriority w:val="0"/>
    <w:pPr>
      <w:keepNext/>
      <w:keepLines/>
      <w:spacing w:beforeLines="0" w:beforeAutospacing="0" w:afterLines="0" w:afterAutospacing="0" w:line="360" w:lineRule="auto"/>
      <w:jc w:val="center"/>
      <w:outlineLvl w:val="3"/>
    </w:pPr>
    <w:rPr>
      <w:rFonts w:ascii="Arial" w:hAnsi="Arial" w:eastAsia="宋体" w:cs="Arial"/>
      <w:b/>
      <w:snapToGrid w:val="0"/>
      <w:color w:val="000000"/>
      <w:kern w:val="0"/>
      <w:sz w:val="28"/>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4 Char"/>
    <w:link w:val="5"/>
    <w:qFormat/>
    <w:uiPriority w:val="0"/>
    <w:rPr>
      <w:rFonts w:ascii="Arial" w:hAnsi="Arial" w:eastAsia="宋体" w:cs="Arial"/>
      <w:b/>
      <w:snapToGrid w:val="0"/>
      <w:color w:val="000000"/>
      <w:kern w:val="0"/>
      <w:sz w:val="28"/>
      <w:szCs w:val="21"/>
      <w:lang w:eastAsia="en-US"/>
    </w:rPr>
  </w:style>
  <w:style w:type="character" w:customStyle="1" w:styleId="9">
    <w:name w:val="标题 3 Char"/>
    <w:link w:val="4"/>
    <w:uiPriority w:val="0"/>
    <w:rPr>
      <w:rFonts w:asciiTheme="minorAscii" w:hAnsiTheme="minorAscii" w:eastAsiaTheme="minorEastAsia"/>
      <w:b/>
      <w:sz w:val="28"/>
    </w:rPr>
  </w:style>
  <w:style w:type="paragraph" w:customStyle="1" w:styleId="10">
    <w:name w:val="Table Paragraph"/>
    <w:qFormat/>
    <w:uiPriority w:val="1"/>
    <w:pPr>
      <w:widowControl w:val="0"/>
      <w:autoSpaceDE w:val="0"/>
      <w:autoSpaceDN w:val="0"/>
      <w:jc w:val="left"/>
    </w:pPr>
    <w:rPr>
      <w:rFonts w:ascii="Noto Sans CJK JP Regular" w:hAnsi="Noto Sans CJK JP Regular" w:eastAsia="Noto Sans CJK JP Regular" w:cs="Times New Roman"/>
      <w:kern w:val="0"/>
      <w:sz w:val="2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2025-07-28T01:30:00Z</dcterms:created>
  <dc:creator>Administrator</dc:creator>
  <cp:lastModifiedBy>李子怡</cp:lastModifiedBy>
  <dcterms:modified xsi:type="dcterms:W3CDTF">2026-03-03T06:43:52Z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B9E4482F736042CE99B521B7974A6167_12</vt:lpwstr>
  </property>
  <property fmtid="{D5CDD505-2E9C-101B-9397-08002B2CF9AE}" pid="4" name="KSOTemplateDocerSaveRecord">
    <vt:lpwstr>eyJoZGlkIjoiMmUyOWNlYTEzYWVlZGYxNmFkNmRiMTM2YjM1NmVjYjAiLCJ1c2VySWQiOiIyNzc5ODY3NTAifQ==</vt:lpwstr>
  </property>
</Properties>
</file>