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647A">
      <w:pPr>
        <w:keepNext/>
        <w:keepLines/>
        <w:tabs>
          <w:tab w:val="left" w:pos="840"/>
        </w:tabs>
        <w:spacing w:before="120" w:after="120" w:line="360" w:lineRule="auto"/>
        <w:jc w:val="center"/>
        <w:outlineLvl w:val="1"/>
        <w:rPr>
          <w:rFonts w:hint="default" w:eastAsia="宋体"/>
          <w:b/>
          <w:bCs/>
          <w:color w:val="auto"/>
          <w:kern w:val="0"/>
          <w:szCs w:val="21"/>
          <w:highlight w:val="none"/>
          <w:lang w:val="en-US" w:eastAsia="zh-CN"/>
        </w:rPr>
      </w:pPr>
      <w:bookmarkStart w:id="0" w:name="OLE_LINK9"/>
      <w:r>
        <w:rPr>
          <w:rFonts w:hint="eastAsia"/>
          <w:b/>
          <w:bCs/>
          <w:color w:val="auto"/>
          <w:kern w:val="0"/>
          <w:szCs w:val="21"/>
          <w:highlight w:val="none"/>
          <w:lang w:val="en-US" w:eastAsia="zh-CN"/>
        </w:rPr>
        <w:t>采购需求</w:t>
      </w:r>
      <w:bookmarkStart w:id="1" w:name="_GoBack"/>
      <w:bookmarkEnd w:id="1"/>
    </w:p>
    <w:p w14:paraId="55F6946C">
      <w:pPr>
        <w:keepNext/>
        <w:keepLines/>
        <w:tabs>
          <w:tab w:val="left" w:pos="840"/>
        </w:tabs>
        <w:spacing w:before="120" w:after="120" w:line="360" w:lineRule="auto"/>
        <w:jc w:val="left"/>
        <w:outlineLvl w:val="1"/>
        <w:rPr>
          <w:b/>
          <w:bCs/>
          <w:color w:val="auto"/>
          <w:kern w:val="0"/>
          <w:szCs w:val="21"/>
          <w:highlight w:val="none"/>
        </w:rPr>
      </w:pPr>
      <w:r>
        <w:rPr>
          <w:rFonts w:hint="eastAsia"/>
          <w:b/>
          <w:bCs/>
          <w:color w:val="auto"/>
          <w:kern w:val="0"/>
          <w:szCs w:val="21"/>
          <w:highlight w:val="none"/>
        </w:rPr>
        <w:t>一、项目概况</w:t>
      </w:r>
    </w:p>
    <w:p w14:paraId="1140CED9">
      <w:pPr>
        <w:spacing w:line="360" w:lineRule="auto"/>
        <w:ind w:firstLine="420" w:firstLineChars="200"/>
        <w:jc w:val="left"/>
        <w:rPr>
          <w:b/>
          <w:bCs/>
          <w:color w:val="auto"/>
          <w:szCs w:val="21"/>
          <w:highlight w:val="none"/>
        </w:rPr>
      </w:pPr>
      <w:r>
        <w:rPr>
          <w:rFonts w:hint="eastAsia"/>
          <w:color w:val="auto"/>
          <w:szCs w:val="21"/>
          <w:highlight w:val="none"/>
        </w:rPr>
        <w:t>目前河南省地震构造探查工程、濮阳市活动断层探测项目在黄河流域的东濮凹陷、开封凹陷完成了深地震反射剖面探测，焦作市活动断层探测探测项目跨济源盆地北边界完成了两条深地震反射剖面探测，尚未开展三门峡灵宝盆地深地震反射探测工作。本项目拟在灵宝盆地开展深部结构探测，得到黄河流域典型地震构造区莫霍面之上的地质结构（图6</w:t>
      </w:r>
      <w:r>
        <w:rPr>
          <w:color w:val="auto"/>
          <w:szCs w:val="21"/>
          <w:highlight w:val="none"/>
        </w:rPr>
        <w:t>.</w:t>
      </w:r>
      <w:r>
        <w:rPr>
          <w:rFonts w:hint="eastAsia"/>
          <w:color w:val="auto"/>
          <w:szCs w:val="21"/>
          <w:highlight w:val="none"/>
        </w:rPr>
        <w:t>1）。</w:t>
      </w:r>
    </w:p>
    <w:p w14:paraId="26A79A25">
      <w:pPr>
        <w:spacing w:line="360" w:lineRule="auto"/>
        <w:jc w:val="left"/>
        <w:rPr>
          <w:b/>
          <w:bCs/>
          <w:color w:val="auto"/>
          <w:szCs w:val="21"/>
          <w:highlight w:val="none"/>
        </w:rPr>
      </w:pPr>
      <w:r>
        <w:rPr>
          <w:b/>
          <w:bCs/>
          <w:color w:val="auto"/>
          <w:szCs w:val="21"/>
          <w:highlight w:val="none"/>
        </w:rPr>
        <w:drawing>
          <wp:anchor distT="0" distB="0" distL="114300" distR="114300" simplePos="0" relativeHeight="251659264" behindDoc="1" locked="0" layoutInCell="1" allowOverlap="1">
            <wp:simplePos x="0" y="0"/>
            <wp:positionH relativeFrom="column">
              <wp:posOffset>0</wp:posOffset>
            </wp:positionH>
            <wp:positionV relativeFrom="paragraph">
              <wp:posOffset>71755</wp:posOffset>
            </wp:positionV>
            <wp:extent cx="5760720" cy="3422015"/>
            <wp:effectExtent l="0" t="0" r="11430" b="6985"/>
            <wp:wrapNone/>
            <wp:docPr id="1" name="图片 2" descr="灵宝盆地深反射测线位置-资料需求范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灵宝盆地深反射测线位置-资料需求范围"/>
                    <pic:cNvPicPr>
                      <a:picLocks noChangeAspect="1"/>
                    </pic:cNvPicPr>
                  </pic:nvPicPr>
                  <pic:blipFill>
                    <a:blip r:embed="rId4"/>
                    <a:stretch>
                      <a:fillRect/>
                    </a:stretch>
                  </pic:blipFill>
                  <pic:spPr>
                    <a:xfrm>
                      <a:off x="0" y="0"/>
                      <a:ext cx="5760720" cy="3422015"/>
                    </a:xfrm>
                    <a:prstGeom prst="rect">
                      <a:avLst/>
                    </a:prstGeom>
                    <a:noFill/>
                    <a:ln>
                      <a:noFill/>
                    </a:ln>
                  </pic:spPr>
                </pic:pic>
              </a:graphicData>
            </a:graphic>
          </wp:anchor>
        </w:drawing>
      </w:r>
    </w:p>
    <w:p w14:paraId="14B97D0A">
      <w:pPr>
        <w:spacing w:line="360" w:lineRule="auto"/>
        <w:ind w:firstLine="422" w:firstLineChars="200"/>
        <w:jc w:val="left"/>
        <w:rPr>
          <w:b/>
          <w:bCs/>
          <w:color w:val="auto"/>
          <w:szCs w:val="21"/>
          <w:highlight w:val="none"/>
        </w:rPr>
      </w:pPr>
    </w:p>
    <w:p w14:paraId="02AD8B84">
      <w:pPr>
        <w:spacing w:line="360" w:lineRule="auto"/>
        <w:ind w:firstLine="422" w:firstLineChars="200"/>
        <w:jc w:val="left"/>
        <w:rPr>
          <w:b/>
          <w:bCs/>
          <w:color w:val="auto"/>
          <w:szCs w:val="21"/>
          <w:highlight w:val="none"/>
        </w:rPr>
      </w:pPr>
    </w:p>
    <w:p w14:paraId="0BC62AA4">
      <w:pPr>
        <w:spacing w:line="360" w:lineRule="auto"/>
        <w:ind w:firstLine="422" w:firstLineChars="200"/>
        <w:jc w:val="left"/>
        <w:rPr>
          <w:b/>
          <w:bCs/>
          <w:color w:val="auto"/>
          <w:szCs w:val="21"/>
          <w:highlight w:val="none"/>
        </w:rPr>
      </w:pPr>
    </w:p>
    <w:p w14:paraId="5FAD78F7">
      <w:pPr>
        <w:spacing w:line="360" w:lineRule="auto"/>
        <w:ind w:firstLine="422" w:firstLineChars="200"/>
        <w:jc w:val="left"/>
        <w:rPr>
          <w:b/>
          <w:bCs/>
          <w:color w:val="auto"/>
          <w:szCs w:val="21"/>
          <w:highlight w:val="none"/>
        </w:rPr>
      </w:pPr>
    </w:p>
    <w:p w14:paraId="664103E9">
      <w:pPr>
        <w:spacing w:line="360" w:lineRule="auto"/>
        <w:ind w:firstLine="422" w:firstLineChars="200"/>
        <w:jc w:val="left"/>
        <w:rPr>
          <w:b/>
          <w:bCs/>
          <w:color w:val="auto"/>
          <w:szCs w:val="21"/>
          <w:highlight w:val="none"/>
        </w:rPr>
      </w:pPr>
    </w:p>
    <w:p w14:paraId="5A8CA1E0">
      <w:pPr>
        <w:spacing w:line="360" w:lineRule="auto"/>
        <w:ind w:firstLine="422" w:firstLineChars="200"/>
        <w:jc w:val="left"/>
        <w:rPr>
          <w:b/>
          <w:bCs/>
          <w:color w:val="auto"/>
          <w:szCs w:val="21"/>
          <w:highlight w:val="none"/>
        </w:rPr>
      </w:pPr>
    </w:p>
    <w:p w14:paraId="0A0D2E06">
      <w:pPr>
        <w:spacing w:line="360" w:lineRule="auto"/>
        <w:ind w:firstLine="422" w:firstLineChars="200"/>
        <w:jc w:val="left"/>
        <w:rPr>
          <w:b/>
          <w:bCs/>
          <w:color w:val="auto"/>
          <w:szCs w:val="21"/>
          <w:highlight w:val="none"/>
        </w:rPr>
      </w:pPr>
    </w:p>
    <w:p w14:paraId="0CCA2ACB">
      <w:pPr>
        <w:spacing w:line="360" w:lineRule="auto"/>
        <w:ind w:firstLine="422" w:firstLineChars="200"/>
        <w:jc w:val="left"/>
        <w:rPr>
          <w:b/>
          <w:bCs/>
          <w:color w:val="auto"/>
          <w:szCs w:val="21"/>
          <w:highlight w:val="none"/>
        </w:rPr>
      </w:pPr>
    </w:p>
    <w:p w14:paraId="0EE8176E">
      <w:pPr>
        <w:spacing w:line="360" w:lineRule="auto"/>
        <w:ind w:firstLine="422" w:firstLineChars="200"/>
        <w:jc w:val="left"/>
        <w:rPr>
          <w:b/>
          <w:bCs/>
          <w:color w:val="auto"/>
          <w:szCs w:val="21"/>
          <w:highlight w:val="none"/>
        </w:rPr>
      </w:pPr>
    </w:p>
    <w:p w14:paraId="166ED325">
      <w:pPr>
        <w:spacing w:line="360" w:lineRule="auto"/>
        <w:ind w:firstLine="422" w:firstLineChars="200"/>
        <w:jc w:val="left"/>
        <w:rPr>
          <w:b/>
          <w:bCs/>
          <w:color w:val="auto"/>
          <w:szCs w:val="21"/>
          <w:highlight w:val="none"/>
        </w:rPr>
      </w:pPr>
    </w:p>
    <w:p w14:paraId="3B3CC921">
      <w:pPr>
        <w:spacing w:line="360" w:lineRule="auto"/>
        <w:ind w:firstLine="422" w:firstLineChars="200"/>
        <w:jc w:val="left"/>
        <w:rPr>
          <w:b/>
          <w:bCs/>
          <w:color w:val="auto"/>
          <w:szCs w:val="21"/>
          <w:highlight w:val="none"/>
        </w:rPr>
      </w:pPr>
    </w:p>
    <w:p w14:paraId="38E2863E">
      <w:pPr>
        <w:spacing w:line="360" w:lineRule="auto"/>
        <w:jc w:val="center"/>
        <w:rPr>
          <w:b/>
          <w:bCs/>
          <w:color w:val="auto"/>
          <w:szCs w:val="21"/>
          <w:highlight w:val="none"/>
        </w:rPr>
      </w:pPr>
      <w:r>
        <w:rPr>
          <w:rFonts w:hint="eastAsia"/>
          <w:b/>
          <w:bCs/>
          <w:color w:val="auto"/>
          <w:szCs w:val="21"/>
          <w:highlight w:val="none"/>
        </w:rPr>
        <w:t>图6.1</w:t>
      </w:r>
      <w:r>
        <w:rPr>
          <w:b/>
          <w:bCs/>
          <w:color w:val="auto"/>
          <w:szCs w:val="21"/>
          <w:highlight w:val="none"/>
        </w:rPr>
        <w:t xml:space="preserve"> </w:t>
      </w:r>
      <w:r>
        <w:rPr>
          <w:rFonts w:hint="eastAsia"/>
          <w:b/>
          <w:bCs/>
          <w:color w:val="auto"/>
          <w:szCs w:val="21"/>
          <w:highlight w:val="none"/>
        </w:rPr>
        <w:t>灵宝盆地深地震反射探测剖面位置参考图</w:t>
      </w:r>
    </w:p>
    <w:p w14:paraId="498D46AF">
      <w:pPr>
        <w:keepNext/>
        <w:keepLines/>
        <w:tabs>
          <w:tab w:val="left" w:pos="840"/>
        </w:tabs>
        <w:spacing w:before="120" w:after="120" w:line="360" w:lineRule="auto"/>
        <w:jc w:val="left"/>
        <w:outlineLvl w:val="1"/>
        <w:rPr>
          <w:b/>
          <w:bCs/>
          <w:color w:val="auto"/>
          <w:kern w:val="0"/>
          <w:szCs w:val="21"/>
          <w:highlight w:val="none"/>
        </w:rPr>
      </w:pPr>
      <w:r>
        <w:rPr>
          <w:rFonts w:hint="eastAsia"/>
          <w:b/>
          <w:bCs/>
          <w:color w:val="auto"/>
          <w:kern w:val="0"/>
          <w:szCs w:val="21"/>
          <w:highlight w:val="none"/>
        </w:rPr>
        <w:t>二、剖面位置</w:t>
      </w:r>
    </w:p>
    <w:p w14:paraId="779CCD50">
      <w:pPr>
        <w:spacing w:line="360" w:lineRule="auto"/>
        <w:ind w:firstLine="420" w:firstLineChars="200"/>
        <w:jc w:val="left"/>
        <w:rPr>
          <w:color w:val="auto"/>
          <w:szCs w:val="21"/>
          <w:highlight w:val="none"/>
        </w:rPr>
      </w:pPr>
      <w:r>
        <w:rPr>
          <w:rFonts w:hint="eastAsia"/>
          <w:color w:val="auto"/>
          <w:szCs w:val="21"/>
          <w:highlight w:val="none"/>
        </w:rPr>
        <w:t>1.灵宝盆地深地震反射探测</w:t>
      </w:r>
    </w:p>
    <w:p w14:paraId="34AE342F">
      <w:pPr>
        <w:spacing w:line="360" w:lineRule="auto"/>
        <w:ind w:firstLine="420" w:firstLineChars="200"/>
        <w:jc w:val="left"/>
        <w:rPr>
          <w:color w:val="auto"/>
          <w:szCs w:val="21"/>
          <w:highlight w:val="none"/>
        </w:rPr>
      </w:pPr>
      <w:r>
        <w:rPr>
          <w:rFonts w:hint="eastAsia"/>
          <w:color w:val="auto"/>
          <w:szCs w:val="21"/>
          <w:highlight w:val="none"/>
        </w:rPr>
        <w:t>设计线路自灵宝市西南部朱阳镇南秦岭山地向北，跨华山山前断裂，过黄土台地（台塬）地区与黄河河道后，经芮城县西部向北至中条山南麓止，探测剖面长度不少于</w:t>
      </w:r>
      <w:r>
        <w:rPr>
          <w:color w:val="auto"/>
          <w:szCs w:val="21"/>
          <w:highlight w:val="none"/>
        </w:rPr>
        <w:t>58</w:t>
      </w:r>
      <w:r>
        <w:rPr>
          <w:rFonts w:hint="eastAsia"/>
          <w:color w:val="auto"/>
          <w:szCs w:val="21"/>
          <w:highlight w:val="none"/>
        </w:rPr>
        <w:t>km（图</w:t>
      </w:r>
      <w:r>
        <w:rPr>
          <w:color w:val="auto"/>
          <w:szCs w:val="21"/>
          <w:highlight w:val="none"/>
        </w:rPr>
        <w:t>6.</w:t>
      </w:r>
      <w:r>
        <w:rPr>
          <w:rFonts w:hint="eastAsia"/>
          <w:color w:val="auto"/>
          <w:szCs w:val="21"/>
          <w:highlight w:val="none"/>
        </w:rPr>
        <w:t>1）。</w:t>
      </w:r>
    </w:p>
    <w:p w14:paraId="70E4EE40">
      <w:pPr>
        <w:keepNext/>
        <w:keepLines/>
        <w:tabs>
          <w:tab w:val="left" w:pos="840"/>
        </w:tabs>
        <w:spacing w:before="120" w:after="120" w:line="360" w:lineRule="auto"/>
        <w:jc w:val="left"/>
        <w:outlineLvl w:val="1"/>
        <w:rPr>
          <w:color w:val="auto"/>
          <w:kern w:val="0"/>
          <w:szCs w:val="21"/>
          <w:highlight w:val="none"/>
        </w:rPr>
      </w:pPr>
      <w:r>
        <w:rPr>
          <w:rFonts w:hint="eastAsia"/>
          <w:color w:val="auto"/>
          <w:kern w:val="0"/>
          <w:szCs w:val="21"/>
          <w:highlight w:val="none"/>
        </w:rPr>
        <w:t>三、工作内容</w:t>
      </w:r>
    </w:p>
    <w:p w14:paraId="4B4EDCD0">
      <w:pPr>
        <w:spacing w:line="360" w:lineRule="auto"/>
        <w:ind w:firstLine="420" w:firstLineChars="200"/>
        <w:jc w:val="left"/>
        <w:rPr>
          <w:color w:val="auto"/>
          <w:szCs w:val="21"/>
          <w:highlight w:val="none"/>
        </w:rPr>
      </w:pPr>
      <w:r>
        <w:rPr>
          <w:rFonts w:hint="eastAsia"/>
          <w:color w:val="auto"/>
          <w:szCs w:val="21"/>
          <w:highlight w:val="none"/>
        </w:rPr>
        <w:t>主要工作内容包括测线野外堪选、设计、钻爆作业、野外数据采集、数据处理及成果剖面解释、深部构造模型建立、地壳速度结构分析、地质构造的综合解释、数据库建设等。</w:t>
      </w:r>
    </w:p>
    <w:p w14:paraId="6ECC01EF">
      <w:pPr>
        <w:spacing w:line="360" w:lineRule="auto"/>
        <w:ind w:firstLine="420" w:firstLineChars="200"/>
        <w:jc w:val="left"/>
        <w:rPr>
          <w:color w:val="auto"/>
          <w:szCs w:val="21"/>
          <w:highlight w:val="none"/>
        </w:rPr>
      </w:pPr>
      <w:r>
        <w:rPr>
          <w:rFonts w:hint="eastAsia"/>
          <w:color w:val="auto"/>
          <w:szCs w:val="21"/>
          <w:highlight w:val="none"/>
        </w:rPr>
        <w:t>1.进行详细的野外踏勘，合理布设勘探测线，采用爆炸震源进行地震波激发，按照相关规范进行野外数据采集和数据处理。</w:t>
      </w:r>
    </w:p>
    <w:p w14:paraId="1383ACAD">
      <w:pPr>
        <w:spacing w:line="360" w:lineRule="auto"/>
        <w:ind w:firstLine="420" w:firstLineChars="200"/>
        <w:jc w:val="left"/>
        <w:rPr>
          <w:color w:val="auto"/>
          <w:szCs w:val="21"/>
          <w:highlight w:val="none"/>
        </w:rPr>
      </w:pPr>
      <w:r>
        <w:rPr>
          <w:rFonts w:hint="eastAsia"/>
          <w:color w:val="auto"/>
          <w:szCs w:val="21"/>
          <w:highlight w:val="none"/>
        </w:rPr>
        <w:t>2.通过深地震反射探测（多次覆盖纵波反射方法）获得剖面区地壳精细结构及目标断裂的深浅部断裂构造关系，结合河南省已有的地质、地震资料，总结研究区深部孕震构造特征。</w:t>
      </w:r>
    </w:p>
    <w:p w14:paraId="573839F5">
      <w:pPr>
        <w:spacing w:line="360" w:lineRule="auto"/>
        <w:ind w:firstLine="420" w:firstLineChars="200"/>
        <w:jc w:val="left"/>
        <w:rPr>
          <w:color w:val="auto"/>
          <w:szCs w:val="21"/>
          <w:highlight w:val="none"/>
        </w:rPr>
      </w:pPr>
      <w:r>
        <w:rPr>
          <w:rFonts w:hint="eastAsia"/>
          <w:color w:val="auto"/>
          <w:szCs w:val="21"/>
          <w:highlight w:val="none"/>
        </w:rPr>
        <w:t>3.提交完整的原始数据，提供相关过程产出的技术资料、成果剖面及解译图件、技术报告等，并按照甲方提供的数据库模板进行入库。</w:t>
      </w:r>
    </w:p>
    <w:p w14:paraId="2BE2C039">
      <w:pPr>
        <w:keepNext/>
        <w:keepLines/>
        <w:tabs>
          <w:tab w:val="left" w:pos="840"/>
        </w:tabs>
        <w:spacing w:before="120" w:after="120" w:line="360" w:lineRule="auto"/>
        <w:jc w:val="left"/>
        <w:outlineLvl w:val="1"/>
        <w:rPr>
          <w:b/>
          <w:bCs/>
          <w:color w:val="auto"/>
          <w:kern w:val="0"/>
          <w:szCs w:val="21"/>
          <w:highlight w:val="none"/>
        </w:rPr>
      </w:pPr>
      <w:r>
        <w:rPr>
          <w:rFonts w:hint="eastAsia"/>
          <w:b/>
          <w:bCs/>
          <w:color w:val="auto"/>
          <w:kern w:val="0"/>
          <w:szCs w:val="21"/>
          <w:highlight w:val="none"/>
        </w:rPr>
        <w:t>四、技术要求</w:t>
      </w:r>
    </w:p>
    <w:p w14:paraId="4AC59DB2">
      <w:pPr>
        <w:spacing w:line="360" w:lineRule="auto"/>
        <w:ind w:firstLine="420" w:firstLineChars="200"/>
        <w:jc w:val="left"/>
        <w:rPr>
          <w:color w:val="auto"/>
          <w:szCs w:val="21"/>
          <w:highlight w:val="none"/>
        </w:rPr>
      </w:pPr>
      <w:r>
        <w:rPr>
          <w:rFonts w:hint="eastAsia"/>
          <w:color w:val="auto"/>
          <w:szCs w:val="21"/>
          <w:highlight w:val="none"/>
        </w:rPr>
        <w:t>1.深地震反射探测</w:t>
      </w:r>
    </w:p>
    <w:p w14:paraId="0C745070">
      <w:pPr>
        <w:autoSpaceDE w:val="0"/>
        <w:autoSpaceDN w:val="0"/>
        <w:spacing w:line="360" w:lineRule="auto"/>
        <w:ind w:firstLine="480"/>
        <w:jc w:val="left"/>
        <w:rPr>
          <w:color w:val="auto"/>
          <w:kern w:val="0"/>
          <w:szCs w:val="21"/>
          <w:highlight w:val="none"/>
        </w:rPr>
      </w:pPr>
      <w:r>
        <w:rPr>
          <w:rFonts w:hint="eastAsia"/>
          <w:color w:val="auto"/>
          <w:kern w:val="0"/>
          <w:szCs w:val="21"/>
          <w:highlight w:val="none"/>
        </w:rPr>
        <w:t>（1）深地震反射剖面的探测目标层深度为莫霍面，需兼顾的浅部目标层深度为500～600m。</w:t>
      </w:r>
    </w:p>
    <w:p w14:paraId="2E1E00BB">
      <w:pPr>
        <w:autoSpaceDE w:val="0"/>
        <w:autoSpaceDN w:val="0"/>
        <w:spacing w:line="360" w:lineRule="auto"/>
        <w:ind w:firstLine="480"/>
        <w:jc w:val="left"/>
        <w:rPr>
          <w:color w:val="auto"/>
          <w:szCs w:val="21"/>
          <w:highlight w:val="none"/>
        </w:rPr>
      </w:pPr>
      <w:r>
        <w:rPr>
          <w:rFonts w:hint="eastAsia"/>
          <w:color w:val="auto"/>
          <w:kern w:val="0"/>
          <w:szCs w:val="21"/>
          <w:highlight w:val="none"/>
        </w:rPr>
        <w:t>（2）</w:t>
      </w:r>
      <w:r>
        <w:rPr>
          <w:rFonts w:hint="eastAsia"/>
          <w:color w:val="auto"/>
          <w:szCs w:val="21"/>
          <w:highlight w:val="none"/>
        </w:rPr>
        <w:t>深地震反射剖面的数据采集宜采用428UL、Zland节点地震仪等现代先进的地震仪；为兼顾来自深、浅不同深度的反射信号，地震波接收应采用固有频率≤10Hz的地震检波器串。</w:t>
      </w:r>
    </w:p>
    <w:p w14:paraId="31438EEE">
      <w:pPr>
        <w:autoSpaceDE w:val="0"/>
        <w:autoSpaceDN w:val="0"/>
        <w:spacing w:line="360" w:lineRule="auto"/>
        <w:ind w:firstLine="480"/>
        <w:jc w:val="left"/>
        <w:rPr>
          <w:color w:val="auto"/>
          <w:kern w:val="0"/>
          <w:szCs w:val="21"/>
          <w:highlight w:val="none"/>
        </w:rPr>
      </w:pPr>
      <w:r>
        <w:rPr>
          <w:rFonts w:hint="eastAsia"/>
          <w:color w:val="auto"/>
          <w:szCs w:val="21"/>
          <w:highlight w:val="none"/>
        </w:rPr>
        <w:t>（3）</w:t>
      </w:r>
      <w:r>
        <w:rPr>
          <w:rFonts w:hint="eastAsia"/>
          <w:color w:val="auto"/>
          <w:kern w:val="0"/>
          <w:szCs w:val="21"/>
          <w:highlight w:val="none"/>
        </w:rPr>
        <w:t>地震波激发应采用钻孔爆破震源。考虑到地壳浅部反射波能量较强，而深部结晶岩内部的反射系数通常较小，要求采用大、小炮相结合的地震波激发方式，实际激发孔深、激发药量应通过现场试验确定。</w:t>
      </w:r>
    </w:p>
    <w:p w14:paraId="14255247">
      <w:pPr>
        <w:spacing w:line="360" w:lineRule="auto"/>
        <w:ind w:firstLine="420" w:firstLineChars="200"/>
        <w:jc w:val="left"/>
        <w:rPr>
          <w:color w:val="auto"/>
          <w:szCs w:val="21"/>
          <w:highlight w:val="none"/>
        </w:rPr>
      </w:pPr>
      <w:r>
        <w:rPr>
          <w:rFonts w:hint="eastAsia"/>
          <w:color w:val="auto"/>
          <w:kern w:val="0"/>
          <w:szCs w:val="21"/>
          <w:highlight w:val="none"/>
        </w:rPr>
        <w:t>（4）深地震反射剖面探测应采用多次覆盖探测方法，观测系统参数应通过现场试验确定，根据已有深反射探测结果和经验，原则上可在下列范围内选择，道间距不大于40m，有效接收道数不小于1000道，大炮炮距不大于1km，小炮炮间距不大于250m，覆盖次数≥</w:t>
      </w:r>
      <w:r>
        <w:rPr>
          <w:color w:val="auto"/>
          <w:kern w:val="0"/>
          <w:szCs w:val="21"/>
          <w:highlight w:val="none"/>
        </w:rPr>
        <w:t>48</w:t>
      </w:r>
      <w:r>
        <w:rPr>
          <w:rFonts w:hint="eastAsia"/>
          <w:color w:val="auto"/>
          <w:kern w:val="0"/>
          <w:szCs w:val="21"/>
          <w:highlight w:val="none"/>
        </w:rPr>
        <w:t>次。</w:t>
      </w:r>
    </w:p>
    <w:p w14:paraId="7153E854">
      <w:pPr>
        <w:spacing w:line="360" w:lineRule="auto"/>
        <w:ind w:firstLine="420" w:firstLineChars="200"/>
        <w:jc w:val="left"/>
        <w:rPr>
          <w:color w:val="auto"/>
          <w:szCs w:val="21"/>
          <w:highlight w:val="none"/>
        </w:rPr>
      </w:pPr>
      <w:r>
        <w:rPr>
          <w:rFonts w:hint="eastAsia"/>
          <w:color w:val="auto"/>
          <w:kern w:val="0"/>
          <w:szCs w:val="21"/>
          <w:highlight w:val="none"/>
        </w:rPr>
        <w:t>（5）深地震反射原始记录合格率应大于99%；原始记录上的有效波应能够辨认，目标层反射波组清晰；干扰波较强时，经过初步处理后的单炮记录能识别目标层反射波组。</w:t>
      </w:r>
    </w:p>
    <w:p w14:paraId="42B08890">
      <w:pPr>
        <w:spacing w:line="360" w:lineRule="auto"/>
        <w:ind w:firstLine="420" w:firstLineChars="200"/>
        <w:jc w:val="left"/>
        <w:rPr>
          <w:color w:val="auto"/>
          <w:kern w:val="0"/>
          <w:szCs w:val="21"/>
          <w:highlight w:val="none"/>
        </w:rPr>
      </w:pPr>
      <w:r>
        <w:rPr>
          <w:rFonts w:hint="eastAsia"/>
          <w:color w:val="auto"/>
          <w:kern w:val="0"/>
          <w:szCs w:val="21"/>
          <w:highlight w:val="none"/>
        </w:rPr>
        <w:t>（6）深地震反射测线上所有物理点的坐标和高程应采用高精度的测量仪器进行实测，</w:t>
      </w:r>
      <w:r>
        <w:rPr>
          <w:rFonts w:hint="eastAsia"/>
          <w:color w:val="auto"/>
          <w:szCs w:val="21"/>
          <w:highlight w:val="none"/>
        </w:rPr>
        <w:t>平面坐标采用WGS84坐标系，测地工作质量检查点的比例不少于总工作量的5%。</w:t>
      </w:r>
      <w:r>
        <w:rPr>
          <w:rFonts w:hint="eastAsia"/>
          <w:color w:val="auto"/>
          <w:kern w:val="0"/>
          <w:szCs w:val="21"/>
          <w:highlight w:val="none"/>
        </w:rPr>
        <w:t>测线物理点定位精度应优于1 m；测线起点、终点、拐点和重要地物等关键位置要有详细记录，接收点和激发点应设立明显标志。</w:t>
      </w:r>
    </w:p>
    <w:p w14:paraId="0216698E">
      <w:pPr>
        <w:spacing w:line="360" w:lineRule="auto"/>
        <w:ind w:firstLine="420" w:firstLineChars="200"/>
        <w:jc w:val="left"/>
        <w:rPr>
          <w:color w:val="auto"/>
          <w:kern w:val="0"/>
          <w:szCs w:val="21"/>
          <w:highlight w:val="none"/>
        </w:rPr>
      </w:pPr>
      <w:r>
        <w:rPr>
          <w:rFonts w:hint="eastAsia"/>
          <w:color w:val="auto"/>
          <w:kern w:val="0"/>
          <w:szCs w:val="21"/>
          <w:highlight w:val="none"/>
        </w:rPr>
        <w:t>（7）数据处理：应根据探测区的地质构造特点、任务要求和原始单炮记录特征，通过试验确定处理流程和参数。处理流程应包含格式转换、观测系统定义、记录（道）编辑、干扰波压制（去噪）、增益控制、静校正、反褶积、道集分选、速度分析和动校正、剩余静校正、叠加、偏移等主要处理过程。</w:t>
      </w:r>
    </w:p>
    <w:p w14:paraId="2D241AA6">
      <w:pPr>
        <w:spacing w:line="360" w:lineRule="auto"/>
        <w:ind w:firstLine="420" w:firstLineChars="200"/>
        <w:jc w:val="left"/>
        <w:rPr>
          <w:color w:val="auto"/>
          <w:kern w:val="0"/>
          <w:szCs w:val="21"/>
          <w:highlight w:val="none"/>
        </w:rPr>
      </w:pPr>
      <w:r>
        <w:rPr>
          <w:rFonts w:hint="eastAsia"/>
          <w:color w:val="auto"/>
          <w:kern w:val="0"/>
          <w:szCs w:val="21"/>
          <w:highlight w:val="none"/>
        </w:rPr>
        <w:t>资料处理过程中应进行质量控制，并重点做好如下处理：</w:t>
      </w:r>
    </w:p>
    <w:p w14:paraId="7CFDB244">
      <w:pPr>
        <w:spacing w:line="360" w:lineRule="auto"/>
        <w:ind w:firstLine="420" w:firstLineChars="200"/>
        <w:jc w:val="left"/>
        <w:rPr>
          <w:color w:val="auto"/>
          <w:kern w:val="0"/>
          <w:szCs w:val="21"/>
          <w:highlight w:val="none"/>
        </w:rPr>
      </w:pPr>
      <w:r>
        <w:rPr>
          <w:rFonts w:hint="eastAsia"/>
          <w:color w:val="auto"/>
          <w:kern w:val="0"/>
          <w:szCs w:val="21"/>
          <w:highlight w:val="none"/>
        </w:rPr>
        <w:t>①应做好地震记录的编辑、弱反射信号提取、干扰波压制和动、静校正等处理，确保处理剖面有较高的信噪比，且无影响构造识别的干扰波；</w:t>
      </w:r>
    </w:p>
    <w:p w14:paraId="3D9D1B76">
      <w:pPr>
        <w:spacing w:line="360" w:lineRule="auto"/>
        <w:ind w:firstLine="420" w:firstLineChars="200"/>
        <w:jc w:val="left"/>
        <w:rPr>
          <w:color w:val="auto"/>
          <w:kern w:val="0"/>
          <w:szCs w:val="21"/>
          <w:highlight w:val="none"/>
        </w:rPr>
      </w:pPr>
      <w:r>
        <w:rPr>
          <w:rFonts w:hint="eastAsia"/>
          <w:color w:val="auto"/>
          <w:kern w:val="0"/>
          <w:szCs w:val="21"/>
          <w:highlight w:val="none"/>
        </w:rPr>
        <w:t>②速度求取应有足够的动校正速度分析段，以提高反射波的叠加效果和时深转换精度；</w:t>
      </w:r>
    </w:p>
    <w:p w14:paraId="33F9003F">
      <w:pPr>
        <w:spacing w:line="360" w:lineRule="auto"/>
        <w:ind w:firstLine="420" w:firstLineChars="200"/>
        <w:jc w:val="left"/>
        <w:rPr>
          <w:color w:val="auto"/>
          <w:kern w:val="0"/>
          <w:szCs w:val="21"/>
          <w:highlight w:val="none"/>
        </w:rPr>
      </w:pPr>
      <w:r>
        <w:rPr>
          <w:rFonts w:hint="eastAsia"/>
          <w:color w:val="auto"/>
          <w:kern w:val="0"/>
          <w:szCs w:val="21"/>
          <w:highlight w:val="none"/>
        </w:rPr>
        <w:t>③地层倾角较大、地下构造复杂或绕射波发育时，应进行反射波的偏移归位处理，提高地下构造成像效果。</w:t>
      </w:r>
    </w:p>
    <w:p w14:paraId="14683F7C">
      <w:pPr>
        <w:spacing w:line="360" w:lineRule="auto"/>
        <w:ind w:firstLine="420" w:firstLineChars="200"/>
        <w:jc w:val="left"/>
        <w:rPr>
          <w:color w:val="auto"/>
          <w:kern w:val="0"/>
          <w:szCs w:val="21"/>
          <w:highlight w:val="none"/>
        </w:rPr>
      </w:pPr>
      <w:r>
        <w:rPr>
          <w:rFonts w:hint="eastAsia"/>
          <w:color w:val="auto"/>
          <w:kern w:val="0"/>
          <w:szCs w:val="21"/>
          <w:highlight w:val="none"/>
        </w:rPr>
        <w:t>（8）资料分析解释应依据剖面上的反射波组特征，确定反射波组标准层，结合地质资料和其它地球物理资料进行反射波对比分析，确定地震波组与壳内地质层位或构造的关系、分布范围和变化规律。</w:t>
      </w:r>
    </w:p>
    <w:p w14:paraId="30B63820">
      <w:pPr>
        <w:spacing w:line="360" w:lineRule="auto"/>
        <w:ind w:firstLine="420" w:firstLineChars="200"/>
        <w:jc w:val="left"/>
        <w:rPr>
          <w:color w:val="auto"/>
          <w:kern w:val="0"/>
          <w:szCs w:val="21"/>
          <w:highlight w:val="none"/>
        </w:rPr>
      </w:pPr>
      <w:r>
        <w:rPr>
          <w:rFonts w:hint="eastAsia"/>
          <w:color w:val="auto"/>
          <w:kern w:val="0"/>
          <w:szCs w:val="21"/>
          <w:highlight w:val="none"/>
        </w:rPr>
        <w:t>解释成果应包括以下内容：</w:t>
      </w:r>
    </w:p>
    <w:p w14:paraId="25B074CD">
      <w:pPr>
        <w:widowControl/>
        <w:spacing w:line="360" w:lineRule="auto"/>
        <w:jc w:val="left"/>
        <w:rPr>
          <w:color w:val="auto"/>
          <w:kern w:val="0"/>
          <w:szCs w:val="21"/>
          <w:highlight w:val="none"/>
        </w:rPr>
      </w:pPr>
      <w:r>
        <w:rPr>
          <w:rFonts w:hint="eastAsia"/>
          <w:color w:val="auto"/>
          <w:kern w:val="0"/>
          <w:szCs w:val="21"/>
          <w:highlight w:val="none"/>
        </w:rPr>
        <w:t xml:space="preserve">    ①主要地质构造展布和断裂的深、浅构造特征； </w:t>
      </w:r>
    </w:p>
    <w:p w14:paraId="31727AE1">
      <w:pPr>
        <w:widowControl/>
        <w:spacing w:line="360" w:lineRule="auto"/>
        <w:jc w:val="left"/>
        <w:rPr>
          <w:color w:val="auto"/>
          <w:kern w:val="0"/>
          <w:szCs w:val="21"/>
          <w:highlight w:val="none"/>
        </w:rPr>
      </w:pPr>
      <w:r>
        <w:rPr>
          <w:rFonts w:hint="eastAsia"/>
          <w:color w:val="auto"/>
          <w:kern w:val="0"/>
          <w:szCs w:val="21"/>
          <w:highlight w:val="none"/>
        </w:rPr>
        <w:t xml:space="preserve">    ②地壳分层结构及其特征；</w:t>
      </w:r>
    </w:p>
    <w:p w14:paraId="777ED69E">
      <w:pPr>
        <w:widowControl/>
        <w:spacing w:line="360" w:lineRule="auto"/>
        <w:jc w:val="left"/>
        <w:rPr>
          <w:color w:val="auto"/>
          <w:kern w:val="0"/>
          <w:szCs w:val="21"/>
          <w:highlight w:val="none"/>
        </w:rPr>
      </w:pPr>
      <w:r>
        <w:rPr>
          <w:rFonts w:hint="eastAsia"/>
          <w:color w:val="auto"/>
          <w:kern w:val="0"/>
          <w:szCs w:val="21"/>
          <w:highlight w:val="none"/>
        </w:rPr>
        <w:t xml:space="preserve">    ③深地震反射剖面综合解释成果图，主要包括，深地震反射叠加时间剖面图、解释剖面图等，成图比例应符合GB/T 36072-2018《活动断层探测》规定。</w:t>
      </w:r>
    </w:p>
    <w:p w14:paraId="69F171D8">
      <w:pPr>
        <w:spacing w:line="360" w:lineRule="auto"/>
        <w:ind w:firstLine="480"/>
        <w:jc w:val="left"/>
        <w:rPr>
          <w:color w:val="auto"/>
          <w:kern w:val="0"/>
          <w:szCs w:val="21"/>
          <w:highlight w:val="none"/>
        </w:rPr>
      </w:pPr>
      <w:r>
        <w:rPr>
          <w:color w:val="auto"/>
          <w:kern w:val="0"/>
          <w:szCs w:val="21"/>
          <w:highlight w:val="none"/>
        </w:rPr>
        <w:t>2</w:t>
      </w:r>
      <w:r>
        <w:rPr>
          <w:rFonts w:hint="eastAsia"/>
          <w:color w:val="auto"/>
          <w:kern w:val="0"/>
          <w:szCs w:val="21"/>
          <w:highlight w:val="none"/>
        </w:rPr>
        <w:t>.利用本次深部探测和以往探测研究结果，分析研究灵宝盆地及周围强震发生的深部结构、构造环境，为科学制定防震减灾规划提供基础资料。</w:t>
      </w:r>
    </w:p>
    <w:p w14:paraId="69C2BB92">
      <w:pPr>
        <w:spacing w:line="360" w:lineRule="auto"/>
        <w:ind w:firstLine="480"/>
        <w:jc w:val="left"/>
        <w:rPr>
          <w:color w:val="auto"/>
          <w:kern w:val="0"/>
          <w:szCs w:val="21"/>
          <w:highlight w:val="none"/>
        </w:rPr>
      </w:pPr>
      <w:r>
        <w:rPr>
          <w:color w:val="auto"/>
          <w:kern w:val="0"/>
          <w:szCs w:val="21"/>
          <w:highlight w:val="none"/>
        </w:rPr>
        <w:t>3</w:t>
      </w:r>
      <w:r>
        <w:rPr>
          <w:rFonts w:hint="eastAsia"/>
          <w:color w:val="auto"/>
          <w:kern w:val="0"/>
          <w:szCs w:val="21"/>
          <w:highlight w:val="none"/>
        </w:rPr>
        <w:t>.提交的主要研究结果</w:t>
      </w:r>
    </w:p>
    <w:p w14:paraId="6A2AE205">
      <w:pPr>
        <w:spacing w:line="360" w:lineRule="auto"/>
        <w:ind w:firstLine="420" w:firstLineChars="200"/>
        <w:jc w:val="left"/>
        <w:rPr>
          <w:color w:val="auto"/>
          <w:kern w:val="0"/>
          <w:szCs w:val="21"/>
          <w:highlight w:val="none"/>
        </w:rPr>
      </w:pPr>
      <w:r>
        <w:rPr>
          <w:rFonts w:hint="eastAsia"/>
          <w:color w:val="auto"/>
          <w:kern w:val="0"/>
          <w:szCs w:val="21"/>
          <w:highlight w:val="none"/>
        </w:rPr>
        <w:t>①测量成果光盘（含GPS成果和实际地形地物草图）;</w:t>
      </w:r>
    </w:p>
    <w:p w14:paraId="6E4AB7F2">
      <w:pPr>
        <w:spacing w:line="360" w:lineRule="auto"/>
        <w:ind w:firstLine="420" w:firstLineChars="200"/>
        <w:jc w:val="left"/>
        <w:rPr>
          <w:color w:val="auto"/>
          <w:kern w:val="0"/>
          <w:szCs w:val="21"/>
          <w:highlight w:val="none"/>
        </w:rPr>
      </w:pPr>
      <w:r>
        <w:rPr>
          <w:rFonts w:hint="eastAsia"/>
          <w:color w:val="auto"/>
          <w:kern w:val="0"/>
          <w:szCs w:val="21"/>
          <w:highlight w:val="none"/>
        </w:rPr>
        <w:t>②测量总结报告（纸介质和电子版）;</w:t>
      </w:r>
    </w:p>
    <w:p w14:paraId="2A359F24">
      <w:pPr>
        <w:spacing w:line="360" w:lineRule="auto"/>
        <w:ind w:firstLine="420" w:firstLineChars="200"/>
        <w:jc w:val="left"/>
        <w:rPr>
          <w:color w:val="auto"/>
          <w:kern w:val="0"/>
          <w:szCs w:val="21"/>
          <w:highlight w:val="none"/>
        </w:rPr>
      </w:pPr>
      <w:r>
        <w:rPr>
          <w:rFonts w:hint="eastAsia"/>
          <w:color w:val="auto"/>
          <w:kern w:val="0"/>
          <w:szCs w:val="21"/>
          <w:highlight w:val="none"/>
        </w:rPr>
        <w:t>③各炮的的地震记录数据；</w:t>
      </w:r>
    </w:p>
    <w:p w14:paraId="013C24AC">
      <w:pPr>
        <w:spacing w:line="360" w:lineRule="auto"/>
        <w:ind w:firstLine="420" w:firstLineChars="200"/>
        <w:jc w:val="left"/>
        <w:rPr>
          <w:color w:val="auto"/>
          <w:kern w:val="0"/>
          <w:szCs w:val="21"/>
          <w:highlight w:val="none"/>
        </w:rPr>
      </w:pPr>
      <w:r>
        <w:rPr>
          <w:rFonts w:hint="eastAsia"/>
          <w:color w:val="auto"/>
          <w:kern w:val="0"/>
          <w:szCs w:val="21"/>
          <w:highlight w:val="none"/>
        </w:rPr>
        <w:t>④深地震反射叠加时间剖面图；</w:t>
      </w:r>
    </w:p>
    <w:p w14:paraId="37262421">
      <w:pPr>
        <w:spacing w:line="360" w:lineRule="auto"/>
        <w:ind w:firstLine="420" w:firstLineChars="200"/>
        <w:jc w:val="left"/>
        <w:rPr>
          <w:color w:val="auto"/>
          <w:kern w:val="0"/>
          <w:szCs w:val="21"/>
          <w:highlight w:val="none"/>
        </w:rPr>
      </w:pPr>
      <w:r>
        <w:rPr>
          <w:rFonts w:hint="eastAsia"/>
          <w:color w:val="auto"/>
          <w:kern w:val="0"/>
          <w:szCs w:val="21"/>
          <w:highlight w:val="none"/>
        </w:rPr>
        <w:t>⑤深地震反射解释剖面图；</w:t>
      </w:r>
    </w:p>
    <w:p w14:paraId="58BE9126">
      <w:pPr>
        <w:spacing w:line="360" w:lineRule="auto"/>
        <w:ind w:firstLine="420" w:firstLineChars="200"/>
        <w:jc w:val="left"/>
        <w:rPr>
          <w:color w:val="auto"/>
          <w:kern w:val="0"/>
          <w:szCs w:val="21"/>
          <w:highlight w:val="none"/>
        </w:rPr>
      </w:pPr>
      <w:r>
        <w:rPr>
          <w:rFonts w:hint="eastAsia"/>
          <w:color w:val="auto"/>
          <w:kern w:val="0"/>
          <w:szCs w:val="21"/>
          <w:highlight w:val="none"/>
        </w:rPr>
        <w:t>⑥施工设计报告、项目成果报告及有关成果图件，并提供其电子版。</w:t>
      </w:r>
    </w:p>
    <w:p w14:paraId="1D0F105F">
      <w:pPr>
        <w:spacing w:line="360" w:lineRule="auto"/>
        <w:ind w:firstLine="480"/>
        <w:jc w:val="left"/>
        <w:rPr>
          <w:color w:val="auto"/>
          <w:kern w:val="0"/>
          <w:szCs w:val="21"/>
          <w:highlight w:val="none"/>
        </w:rPr>
      </w:pPr>
      <w:r>
        <w:rPr>
          <w:color w:val="auto"/>
          <w:kern w:val="0"/>
          <w:szCs w:val="21"/>
          <w:highlight w:val="none"/>
        </w:rPr>
        <w:t>4</w:t>
      </w:r>
      <w:r>
        <w:rPr>
          <w:rFonts w:hint="eastAsia"/>
          <w:color w:val="auto"/>
          <w:kern w:val="0"/>
          <w:szCs w:val="21"/>
          <w:highlight w:val="none"/>
        </w:rPr>
        <w:t>.档案要求：按照档案验收要求，对数据采集、数据处理、数据解释产生的数据、表格、文档、图片等资料进行整理，提供相关过程产出的技术资料、图件和技术报告等。</w:t>
      </w:r>
    </w:p>
    <w:p w14:paraId="49A3A001">
      <w:pPr>
        <w:spacing w:line="360" w:lineRule="auto"/>
        <w:ind w:firstLine="480"/>
        <w:jc w:val="left"/>
        <w:rPr>
          <w:color w:val="auto"/>
          <w:kern w:val="0"/>
          <w:szCs w:val="21"/>
          <w:highlight w:val="none"/>
        </w:rPr>
      </w:pPr>
      <w:r>
        <w:rPr>
          <w:color w:val="auto"/>
          <w:kern w:val="0"/>
          <w:szCs w:val="21"/>
          <w:highlight w:val="none"/>
        </w:rPr>
        <w:t>5</w:t>
      </w:r>
      <w:r>
        <w:rPr>
          <w:rFonts w:hint="eastAsia"/>
          <w:color w:val="auto"/>
          <w:kern w:val="0"/>
          <w:szCs w:val="21"/>
          <w:highlight w:val="none"/>
        </w:rPr>
        <w:t>.中标</w:t>
      </w:r>
      <w:r>
        <w:rPr>
          <w:rFonts w:hint="eastAsia"/>
          <w:color w:val="auto"/>
          <w:szCs w:val="21"/>
          <w:highlight w:val="none"/>
        </w:rPr>
        <w:t>投标人</w:t>
      </w:r>
      <w:r>
        <w:rPr>
          <w:rFonts w:hint="eastAsia"/>
          <w:color w:val="auto"/>
          <w:kern w:val="0"/>
          <w:szCs w:val="21"/>
          <w:highlight w:val="none"/>
        </w:rPr>
        <w:t>完成现场测线踏勘后，需编制本项目施工方案，通过甲方组织的专家论证后实施。</w:t>
      </w:r>
    </w:p>
    <w:p w14:paraId="3F5E2D3C">
      <w:pPr>
        <w:keepNext/>
        <w:keepLines/>
        <w:tabs>
          <w:tab w:val="left" w:pos="840"/>
        </w:tabs>
        <w:spacing w:before="260" w:after="260" w:line="360" w:lineRule="auto"/>
        <w:ind w:left="420"/>
        <w:jc w:val="left"/>
        <w:outlineLvl w:val="1"/>
        <w:rPr>
          <w:b/>
          <w:bCs/>
          <w:color w:val="auto"/>
          <w:kern w:val="0"/>
          <w:szCs w:val="21"/>
          <w:highlight w:val="none"/>
        </w:rPr>
      </w:pPr>
      <w:r>
        <w:rPr>
          <w:rFonts w:hint="eastAsia"/>
          <w:b/>
          <w:bCs/>
          <w:color w:val="auto"/>
          <w:kern w:val="0"/>
          <w:szCs w:val="21"/>
          <w:highlight w:val="none"/>
        </w:rPr>
        <w:t>五、相关标准、行业标准、地方标准或者其他标准、规范</w:t>
      </w:r>
    </w:p>
    <w:p w14:paraId="5DA4D4F9">
      <w:pPr>
        <w:numPr>
          <w:ilvl w:val="2"/>
          <w:numId w:val="1"/>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GB/T 36072—2018 《活动断层探测》</w:t>
      </w:r>
    </w:p>
    <w:p w14:paraId="4F92A099">
      <w:pPr>
        <w:numPr>
          <w:ilvl w:val="2"/>
          <w:numId w:val="1"/>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《城市活动断层探测工作大纲》（中震防发[2014]3号），中国地震局震害防御司，2014</w:t>
      </w:r>
    </w:p>
    <w:p w14:paraId="282296CE">
      <w:pPr>
        <w:numPr>
          <w:ilvl w:val="2"/>
          <w:numId w:val="1"/>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DB/T 53-2013 《1∶50 000活动断层填图》</w:t>
      </w:r>
    </w:p>
    <w:p w14:paraId="0070889B">
      <w:pPr>
        <w:numPr>
          <w:ilvl w:val="2"/>
          <w:numId w:val="1"/>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行业标准《1:50 000活动断层填图数据库》</w:t>
      </w:r>
    </w:p>
    <w:p w14:paraId="7F7D3344">
      <w:pPr>
        <w:numPr>
          <w:ilvl w:val="2"/>
          <w:numId w:val="1"/>
        </w:numPr>
        <w:adjustRightInd w:val="0"/>
        <w:snapToGrid w:val="0"/>
        <w:spacing w:line="360" w:lineRule="auto"/>
        <w:ind w:left="0" w:firstLine="420"/>
        <w:jc w:val="left"/>
        <w:rPr>
          <w:color w:val="auto"/>
          <w:szCs w:val="21"/>
          <w:highlight w:val="none"/>
        </w:rPr>
      </w:pPr>
      <w:r>
        <w:rPr>
          <w:rFonts w:hint="eastAsia"/>
          <w:color w:val="auto"/>
          <w:szCs w:val="21"/>
          <w:highlight w:val="none"/>
        </w:rPr>
        <w:t>GB/T 18205.1-2008 《防震减灾术语，第1部分：基本术语》</w:t>
      </w:r>
    </w:p>
    <w:p w14:paraId="1965AC43">
      <w:pPr>
        <w:numPr>
          <w:ilvl w:val="2"/>
          <w:numId w:val="1"/>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GB/T 14499-1993 《地球物理勘查技术符号》</w:t>
      </w:r>
    </w:p>
    <w:p w14:paraId="6BBBA932">
      <w:pPr>
        <w:numPr>
          <w:ilvl w:val="2"/>
          <w:numId w:val="1"/>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GB 12950-1991 《地震勘探爆炸安全规程》</w:t>
      </w:r>
    </w:p>
    <w:p w14:paraId="41A19F74">
      <w:pPr>
        <w:numPr>
          <w:ilvl w:val="2"/>
          <w:numId w:val="1"/>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SY/T 5330-2003 《陆上二维地震勘探资料采集技术规范》</w:t>
      </w:r>
    </w:p>
    <w:p w14:paraId="0011C0D0">
      <w:pPr>
        <w:numPr>
          <w:ilvl w:val="2"/>
          <w:numId w:val="1"/>
        </w:numPr>
        <w:adjustRightInd w:val="0"/>
        <w:snapToGrid w:val="0"/>
        <w:spacing w:line="360" w:lineRule="auto"/>
        <w:ind w:left="0" w:firstLine="420"/>
        <w:jc w:val="left"/>
        <w:rPr>
          <w:bCs/>
          <w:color w:val="auto"/>
          <w:kern w:val="0"/>
          <w:szCs w:val="21"/>
          <w:highlight w:val="none"/>
        </w:rPr>
      </w:pPr>
      <w:r>
        <w:rPr>
          <w:rFonts w:hint="eastAsia"/>
          <w:color w:val="auto"/>
          <w:kern w:val="0"/>
          <w:szCs w:val="21"/>
          <w:highlight w:val="none"/>
        </w:rPr>
        <w:t>SY/T5332-2011《陆上地震勘探数据处理技术规范》</w:t>
      </w:r>
    </w:p>
    <w:p w14:paraId="37F38BF7">
      <w:pPr>
        <w:keepNext/>
        <w:keepLines/>
        <w:tabs>
          <w:tab w:val="left" w:pos="840"/>
        </w:tabs>
        <w:spacing w:before="260" w:after="260" w:line="360" w:lineRule="auto"/>
        <w:ind w:left="420"/>
        <w:jc w:val="left"/>
        <w:outlineLvl w:val="1"/>
        <w:rPr>
          <w:b/>
          <w:bCs/>
          <w:color w:val="auto"/>
          <w:kern w:val="0"/>
          <w:szCs w:val="21"/>
          <w:highlight w:val="none"/>
        </w:rPr>
      </w:pPr>
      <w:r>
        <w:rPr>
          <w:rFonts w:hint="eastAsia"/>
          <w:b/>
          <w:bCs/>
          <w:color w:val="auto"/>
          <w:kern w:val="0"/>
          <w:szCs w:val="21"/>
          <w:highlight w:val="none"/>
        </w:rPr>
        <w:t>六、实施时间</w:t>
      </w:r>
    </w:p>
    <w:p w14:paraId="3713A19F">
      <w:pPr>
        <w:spacing w:line="360" w:lineRule="auto"/>
        <w:ind w:firstLine="420" w:firstLineChars="200"/>
        <w:jc w:val="left"/>
        <w:rPr>
          <w:b/>
          <w:bCs/>
          <w:color w:val="auto"/>
          <w:szCs w:val="21"/>
          <w:highlight w:val="none"/>
        </w:rPr>
      </w:pPr>
      <w:r>
        <w:rPr>
          <w:rFonts w:hint="eastAsia"/>
          <w:color w:val="auto"/>
          <w:szCs w:val="21"/>
          <w:highlight w:val="none"/>
          <w:u w:val="none"/>
        </w:rPr>
        <w:t>（1）自合同签订之日起至180日历天。（2）相关服务期限：设计阶段：自合同签订之日起60天内提交施工方案；施工阶段：自合同签订之日起100天内完成野外施工；交付阶段：自合同签订之日起180天内完成合同约定任务。</w:t>
      </w:r>
      <w:r>
        <w:rPr>
          <w:rFonts w:hint="eastAsia"/>
          <w:strike w:val="0"/>
          <w:color w:val="auto"/>
          <w:szCs w:val="21"/>
          <w:highlight w:val="none"/>
          <w:u w:val="none"/>
        </w:rPr>
        <w:t>（3）届期，</w:t>
      </w:r>
      <w:r>
        <w:rPr>
          <w:rFonts w:hint="eastAsia"/>
          <w:strike w:val="0"/>
          <w:color w:val="auto"/>
          <w:szCs w:val="21"/>
          <w:highlight w:val="none"/>
          <w:u w:val="none"/>
          <w:lang w:val="en-US" w:eastAsia="zh-CN"/>
        </w:rPr>
        <w:t>本项目在服务期间</w:t>
      </w:r>
      <w:r>
        <w:rPr>
          <w:rFonts w:hint="eastAsia"/>
          <w:strike w:val="0"/>
          <w:color w:val="auto"/>
          <w:szCs w:val="21"/>
          <w:highlight w:val="none"/>
          <w:u w:val="none"/>
        </w:rPr>
        <w:t>、验收未终结的，本</w:t>
      </w:r>
      <w:r>
        <w:rPr>
          <w:rFonts w:hint="eastAsia"/>
          <w:strike w:val="0"/>
          <w:color w:val="auto"/>
          <w:szCs w:val="21"/>
          <w:highlight w:val="none"/>
          <w:u w:val="none"/>
          <w:lang w:val="en-US" w:eastAsia="zh-CN"/>
        </w:rPr>
        <w:t>项目</w:t>
      </w:r>
      <w:r>
        <w:rPr>
          <w:rFonts w:hint="eastAsia"/>
          <w:strike w:val="0"/>
          <w:color w:val="auto"/>
          <w:szCs w:val="21"/>
          <w:highlight w:val="none"/>
          <w:u w:val="none"/>
        </w:rPr>
        <w:t>自动延续至验收结束之日。甲方无须向乙方支付因该</w:t>
      </w:r>
      <w:r>
        <w:rPr>
          <w:rFonts w:hint="eastAsia"/>
          <w:strike w:val="0"/>
          <w:color w:val="auto"/>
          <w:szCs w:val="21"/>
          <w:highlight w:val="none"/>
          <w:u w:val="none"/>
          <w:lang w:eastAsia="zh-CN"/>
        </w:rPr>
        <w:t>服务</w:t>
      </w:r>
      <w:r>
        <w:rPr>
          <w:rFonts w:hint="eastAsia"/>
          <w:strike w:val="0"/>
          <w:color w:val="auto"/>
          <w:szCs w:val="21"/>
          <w:highlight w:val="none"/>
          <w:u w:val="none"/>
          <w:lang w:val="en-US" w:eastAsia="zh-CN"/>
        </w:rPr>
        <w:t>时间</w:t>
      </w:r>
      <w:r>
        <w:rPr>
          <w:rFonts w:hint="eastAsia"/>
          <w:strike w:val="0"/>
          <w:color w:val="auto"/>
          <w:szCs w:val="21"/>
          <w:highlight w:val="none"/>
          <w:u w:val="none"/>
        </w:rPr>
        <w:t>延续而产生的费用。该</w:t>
      </w:r>
      <w:r>
        <w:rPr>
          <w:rFonts w:hint="eastAsia"/>
          <w:strike w:val="0"/>
          <w:color w:val="auto"/>
          <w:szCs w:val="21"/>
          <w:highlight w:val="none"/>
          <w:u w:val="none"/>
          <w:lang w:val="en-US" w:eastAsia="zh-CN"/>
        </w:rPr>
        <w:t>服务期</w:t>
      </w:r>
      <w:r>
        <w:rPr>
          <w:rFonts w:hint="eastAsia"/>
          <w:strike w:val="0"/>
          <w:color w:val="auto"/>
          <w:szCs w:val="21"/>
          <w:highlight w:val="none"/>
          <w:u w:val="none"/>
        </w:rPr>
        <w:t>延续，不影响和妨碍乙方承担的配合、协作、档案移交等附随义务的履行。</w:t>
      </w:r>
    </w:p>
    <w:p w14:paraId="0FB2074A">
      <w:pPr>
        <w:keepNext/>
        <w:keepLines/>
        <w:tabs>
          <w:tab w:val="left" w:pos="840"/>
        </w:tabs>
        <w:spacing w:before="260" w:after="260" w:line="360" w:lineRule="auto"/>
        <w:ind w:left="420"/>
        <w:jc w:val="left"/>
        <w:outlineLvl w:val="1"/>
        <w:rPr>
          <w:b/>
          <w:bCs/>
          <w:color w:val="auto"/>
          <w:kern w:val="0"/>
          <w:szCs w:val="21"/>
          <w:highlight w:val="none"/>
        </w:rPr>
      </w:pPr>
      <w:r>
        <w:rPr>
          <w:rFonts w:hint="eastAsia"/>
          <w:b/>
          <w:bCs/>
          <w:color w:val="auto"/>
          <w:kern w:val="0"/>
          <w:szCs w:val="21"/>
          <w:highlight w:val="none"/>
        </w:rPr>
        <w:t>七、验收</w:t>
      </w:r>
    </w:p>
    <w:p w14:paraId="3D0E35C7">
      <w:pPr>
        <w:spacing w:line="360" w:lineRule="auto"/>
        <w:ind w:firstLine="420" w:firstLineChars="200"/>
        <w:jc w:val="left"/>
        <w:rPr>
          <w:color w:val="auto"/>
          <w:szCs w:val="21"/>
          <w:highlight w:val="none"/>
        </w:rPr>
      </w:pPr>
      <w:r>
        <w:rPr>
          <w:rFonts w:hint="eastAsia"/>
          <w:color w:val="auto"/>
          <w:szCs w:val="21"/>
          <w:highlight w:val="none"/>
        </w:rPr>
        <w:t>1.履约验收主体:河南省地震局</w:t>
      </w:r>
    </w:p>
    <w:p w14:paraId="62FF3698">
      <w:pPr>
        <w:spacing w:line="360" w:lineRule="auto"/>
        <w:ind w:firstLine="420" w:firstLineChars="200"/>
        <w:jc w:val="left"/>
        <w:rPr>
          <w:color w:val="auto"/>
          <w:szCs w:val="21"/>
          <w:highlight w:val="none"/>
        </w:rPr>
      </w:pPr>
      <w:r>
        <w:rPr>
          <w:rFonts w:hint="eastAsia"/>
          <w:color w:val="auto"/>
          <w:szCs w:val="21"/>
          <w:highlight w:val="none"/>
        </w:rPr>
        <w:t>2.履约验收时间:（1）乙方编制完成施工方案通过甲方评审后，方可进行野外施工；</w:t>
      </w:r>
    </w:p>
    <w:p w14:paraId="4390C641">
      <w:pPr>
        <w:spacing w:line="360" w:lineRule="auto"/>
        <w:ind w:firstLine="420" w:firstLineChars="200"/>
        <w:jc w:val="left"/>
        <w:rPr>
          <w:color w:val="auto"/>
          <w:szCs w:val="21"/>
          <w:highlight w:val="none"/>
        </w:rPr>
      </w:pPr>
      <w:r>
        <w:rPr>
          <w:rFonts w:hint="eastAsia"/>
          <w:color w:val="auto"/>
          <w:szCs w:val="21"/>
          <w:highlight w:val="none"/>
        </w:rPr>
        <w:t>（2）野外施工完成后45日内，甲方对乙方的野外数据采集工作进行验收；</w:t>
      </w:r>
    </w:p>
    <w:p w14:paraId="7960FC1A">
      <w:pPr>
        <w:spacing w:line="360" w:lineRule="auto"/>
        <w:ind w:firstLine="420" w:firstLineChars="200"/>
        <w:jc w:val="left"/>
        <w:rPr>
          <w:color w:val="auto"/>
          <w:szCs w:val="21"/>
          <w:highlight w:val="none"/>
        </w:rPr>
      </w:pPr>
      <w:r>
        <w:rPr>
          <w:rFonts w:hint="eastAsia"/>
          <w:color w:val="auto"/>
          <w:szCs w:val="21"/>
          <w:highlight w:val="none"/>
        </w:rPr>
        <w:t>（3）甲方对乙方提交的项目总成果报告和数据库进行验收。</w:t>
      </w:r>
    </w:p>
    <w:p w14:paraId="756CD4E4">
      <w:pPr>
        <w:spacing w:line="360" w:lineRule="auto"/>
        <w:ind w:firstLine="420" w:firstLineChars="200"/>
        <w:jc w:val="left"/>
        <w:rPr>
          <w:color w:val="auto"/>
          <w:szCs w:val="21"/>
          <w:highlight w:val="none"/>
        </w:rPr>
      </w:pPr>
      <w:r>
        <w:rPr>
          <w:rFonts w:hint="eastAsia"/>
          <w:color w:val="auto"/>
          <w:szCs w:val="21"/>
          <w:highlight w:val="none"/>
        </w:rPr>
        <w:t>3.履约验收方式:采购人自行组织项目验收。</w:t>
      </w:r>
    </w:p>
    <w:p w14:paraId="225341A7">
      <w:pPr>
        <w:spacing w:line="360" w:lineRule="auto"/>
        <w:ind w:firstLine="420" w:firstLineChars="200"/>
        <w:jc w:val="left"/>
        <w:rPr>
          <w:color w:val="auto"/>
          <w:szCs w:val="21"/>
          <w:highlight w:val="none"/>
        </w:rPr>
      </w:pPr>
      <w:r>
        <w:rPr>
          <w:rFonts w:hint="eastAsia"/>
          <w:color w:val="auto"/>
          <w:szCs w:val="21"/>
          <w:highlight w:val="none"/>
        </w:rPr>
        <w:t>4.履约验收程序</w:t>
      </w:r>
    </w:p>
    <w:p w14:paraId="5A0F271A">
      <w:pPr>
        <w:spacing w:line="360" w:lineRule="auto"/>
        <w:ind w:firstLine="420" w:firstLineChars="200"/>
        <w:jc w:val="left"/>
        <w:rPr>
          <w:color w:val="auto"/>
          <w:szCs w:val="21"/>
          <w:highlight w:val="none"/>
        </w:rPr>
      </w:pPr>
      <w:r>
        <w:rPr>
          <w:rFonts w:hint="eastAsia"/>
          <w:color w:val="auto"/>
          <w:szCs w:val="21"/>
          <w:highlight w:val="none"/>
        </w:rPr>
        <w:t>4.1数据库检测</w:t>
      </w:r>
    </w:p>
    <w:p w14:paraId="6663BEB7">
      <w:pPr>
        <w:spacing w:line="360" w:lineRule="auto"/>
        <w:ind w:firstLine="420" w:firstLineChars="200"/>
        <w:jc w:val="left"/>
        <w:rPr>
          <w:color w:val="auto"/>
          <w:szCs w:val="21"/>
          <w:highlight w:val="none"/>
        </w:rPr>
      </w:pPr>
      <w:r>
        <w:rPr>
          <w:rFonts w:hint="eastAsia"/>
          <w:color w:val="auto"/>
          <w:szCs w:val="21"/>
          <w:highlight w:val="none"/>
        </w:rPr>
        <w:t>按照GB/T 36072—2018 《活动断层探测》中数据库建设要求，野外生产数据和处理数据及时提交（文字部分为中文Word编辑格式，图件为*.jpg或*.cdr格式，提交成果中应包含有SGY格式的单炮记录、地震成果数据、速度谱数据及完整的道头信息），数据及时入库，在项目总验收前通过相关部门检测，并提交数据库检测报告。</w:t>
      </w:r>
    </w:p>
    <w:p w14:paraId="08CA2B7F">
      <w:pPr>
        <w:spacing w:line="360" w:lineRule="auto"/>
        <w:ind w:firstLine="420" w:firstLineChars="200"/>
        <w:jc w:val="left"/>
        <w:rPr>
          <w:color w:val="auto"/>
          <w:szCs w:val="21"/>
          <w:highlight w:val="none"/>
        </w:rPr>
      </w:pPr>
      <w:r>
        <w:rPr>
          <w:rFonts w:hint="eastAsia"/>
          <w:color w:val="auto"/>
          <w:szCs w:val="21"/>
          <w:highlight w:val="none"/>
        </w:rPr>
        <w:t>4.2阶段评审与成果验收</w:t>
      </w:r>
    </w:p>
    <w:p w14:paraId="482C3185">
      <w:pPr>
        <w:spacing w:line="360" w:lineRule="auto"/>
        <w:ind w:firstLine="420" w:firstLineChars="200"/>
        <w:jc w:val="left"/>
        <w:rPr>
          <w:color w:val="auto"/>
          <w:szCs w:val="21"/>
          <w:highlight w:val="none"/>
        </w:rPr>
      </w:pPr>
      <w:r>
        <w:rPr>
          <w:rFonts w:hint="eastAsia"/>
          <w:color w:val="auto"/>
          <w:szCs w:val="21"/>
          <w:highlight w:val="none"/>
        </w:rPr>
        <w:t>（1）乙方编制完成施工方案通过甲方评审后，方可进行野外施工；</w:t>
      </w:r>
    </w:p>
    <w:p w14:paraId="2E4DACC9">
      <w:pPr>
        <w:spacing w:line="360" w:lineRule="auto"/>
        <w:ind w:firstLine="420" w:firstLineChars="200"/>
        <w:jc w:val="left"/>
        <w:rPr>
          <w:color w:val="auto"/>
          <w:szCs w:val="21"/>
          <w:highlight w:val="none"/>
        </w:rPr>
      </w:pPr>
      <w:r>
        <w:rPr>
          <w:rFonts w:hint="eastAsia"/>
          <w:color w:val="auto"/>
          <w:szCs w:val="21"/>
          <w:highlight w:val="none"/>
        </w:rPr>
        <w:t>（2）野外施工完成后45日内，甲方对乙方的野外数据采集工作进行验收；</w:t>
      </w:r>
    </w:p>
    <w:p w14:paraId="66B010BE">
      <w:pPr>
        <w:spacing w:line="360" w:lineRule="auto"/>
        <w:ind w:firstLine="420" w:firstLineChars="200"/>
        <w:jc w:val="left"/>
        <w:rPr>
          <w:color w:val="auto"/>
          <w:szCs w:val="21"/>
          <w:highlight w:val="none"/>
        </w:rPr>
      </w:pPr>
      <w:r>
        <w:rPr>
          <w:rFonts w:hint="eastAsia"/>
          <w:color w:val="auto"/>
          <w:szCs w:val="21"/>
          <w:highlight w:val="none"/>
        </w:rPr>
        <w:t>（3）甲方对乙方提交的项目总成果报告和数据库进行验收。</w:t>
      </w:r>
    </w:p>
    <w:p w14:paraId="27C95B86">
      <w:pPr>
        <w:spacing w:line="360" w:lineRule="auto"/>
        <w:ind w:firstLine="420" w:firstLineChars="200"/>
        <w:jc w:val="left"/>
        <w:rPr>
          <w:rFonts w:hint="eastAsia"/>
          <w:color w:val="auto"/>
          <w:szCs w:val="21"/>
          <w:highlight w:val="none"/>
        </w:rPr>
      </w:pPr>
      <w:r>
        <w:rPr>
          <w:rFonts w:hint="eastAsia"/>
          <w:color w:val="auto"/>
          <w:szCs w:val="21"/>
          <w:highlight w:val="none"/>
        </w:rPr>
        <w:t>5.履约验收内容</w:t>
      </w:r>
    </w:p>
    <w:p w14:paraId="320AD98A">
      <w:pPr>
        <w:spacing w:line="360" w:lineRule="auto"/>
        <w:ind w:firstLine="420" w:firstLineChars="200"/>
        <w:jc w:val="left"/>
        <w:rPr>
          <w:rFonts w:hint="eastAsia"/>
          <w:color w:val="auto"/>
          <w:szCs w:val="21"/>
          <w:highlight w:val="none"/>
        </w:rPr>
      </w:pPr>
      <w:r>
        <w:rPr>
          <w:rFonts w:hint="eastAsia"/>
          <w:color w:val="auto"/>
          <w:szCs w:val="21"/>
          <w:highlight w:val="none"/>
          <w:lang w:val="zh-CN"/>
        </w:rPr>
        <w:t>（1）乙方投标文件中工作内容；(2)招标文件中要求的工作内容；（3）双方在工作进行过程中，根据项目进展情况，所要求的工作内容</w:t>
      </w:r>
      <w:r>
        <w:rPr>
          <w:rFonts w:hint="eastAsia"/>
          <w:color w:val="auto"/>
          <w:szCs w:val="21"/>
          <w:highlight w:val="none"/>
        </w:rPr>
        <w:t>。</w:t>
      </w:r>
    </w:p>
    <w:p w14:paraId="33665FCF">
      <w:pPr>
        <w:spacing w:line="360" w:lineRule="auto"/>
        <w:ind w:firstLine="420" w:firstLineChars="200"/>
        <w:jc w:val="left"/>
        <w:rPr>
          <w:rFonts w:hint="eastAsia"/>
          <w:color w:val="auto"/>
          <w:szCs w:val="21"/>
          <w:highlight w:val="none"/>
        </w:rPr>
      </w:pPr>
      <w:r>
        <w:rPr>
          <w:rFonts w:hint="eastAsia"/>
          <w:color w:val="auto"/>
          <w:szCs w:val="21"/>
          <w:highlight w:val="none"/>
        </w:rPr>
        <w:t>6.履约验收标准:合格，符合相关的国家标准、行业标准和专业标准。</w:t>
      </w:r>
    </w:p>
    <w:p w14:paraId="49F07116">
      <w:pPr>
        <w:spacing w:line="360" w:lineRule="auto"/>
        <w:ind w:firstLine="420" w:firstLineChars="200"/>
        <w:jc w:val="left"/>
        <w:rPr>
          <w:rFonts w:hint="eastAsia"/>
          <w:color w:val="auto"/>
          <w:szCs w:val="21"/>
          <w:highlight w:val="none"/>
        </w:rPr>
      </w:pPr>
      <w:r>
        <w:rPr>
          <w:rFonts w:hint="eastAsia"/>
          <w:color w:val="auto"/>
          <w:szCs w:val="21"/>
          <w:highlight w:val="none"/>
        </w:rPr>
        <w:t>7.履约验收其他事项:无。</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D0C86"/>
    <w:multiLevelType w:val="multilevel"/>
    <w:tmpl w:val="24CD0C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2M5N2I5NGZmMGMzZTk0MjlmZjkyNGY3OGE0MDkifQ=="/>
  </w:docVars>
  <w:rsids>
    <w:rsidRoot w:val="78B3677A"/>
    <w:rsid w:val="45AA0E38"/>
    <w:rsid w:val="5D5B03CE"/>
    <w:rsid w:val="78B3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pPr>
    <w:rPr>
      <w:rFonts w:eastAsia="楷体_GB2312"/>
      <w:sz w:val="32"/>
      <w:szCs w:val="20"/>
    </w:rPr>
  </w:style>
  <w:style w:type="paragraph" w:styleId="3">
    <w:name w:val="Body Text"/>
    <w:basedOn w:val="1"/>
    <w:next w:val="1"/>
    <w:qFormat/>
    <w:uiPriority w:val="0"/>
    <w:pPr>
      <w:spacing w:after="120"/>
    </w:p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2775</Words>
  <Characters>2981</Characters>
  <Lines>0</Lines>
  <Paragraphs>0</Paragraphs>
  <TotalTime>0</TotalTime>
  <ScaleCrop>false</ScaleCrop>
  <LinksUpToDate>false</LinksUpToDate>
  <CharactersWithSpaces>3013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2025-06-03T03:09:00Z</dcterms:created>
  <dc:creator>中金泰富工程管理有限公司:毕玮</dc:creator>
  <cp:lastModifiedBy>中金泰富工程管理有限公司:毕玮</cp:lastModifiedBy>
  <dcterms:modified xsi:type="dcterms:W3CDTF">2025-06-03T03:10:12Z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B3F0414A73904BBCADD1A5334260E04C_11</vt:lpwstr>
  </property>
</Properties>
</file>